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8762df4597e42c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78169929"/>
        <w:docPartObj>
          <w:docPartGallery w:val="Cover Pages"/>
          <w:docPartUnique/>
        </w:docPartObj>
      </w:sdtPr>
      <w:sdtEndPr>
        <w:rPr>
          <w:noProof/>
          <w:sz w:val="2"/>
          <w:szCs w:val="2"/>
        </w:rPr>
      </w:sdtEndPr>
      <w:sdtContent>
        <w:p w14:paraId="4C8834C4" w14:textId="77777777" w:rsidR="00D11582" w:rsidRPr="002134C7" w:rsidRDefault="00D11582" w:rsidP="00682133">
          <w:r>
            <w:rPr>
              <w:noProof/>
            </w:rPr>
            <w:drawing>
              <wp:anchor distT="0" distB="0" distL="114300" distR="114300" simplePos="0" relativeHeight="251658241" behindDoc="1" locked="0" layoutInCell="1" allowOverlap="1" wp14:anchorId="0B2E009B" wp14:editId="7ED9F068">
                <wp:simplePos x="0" y="0"/>
                <wp:positionH relativeFrom="column">
                  <wp:posOffset>-970915</wp:posOffset>
                </wp:positionH>
                <wp:positionV relativeFrom="paragraph">
                  <wp:posOffset>-945515</wp:posOffset>
                </wp:positionV>
                <wp:extent cx="7588800" cy="10728000"/>
                <wp:effectExtent l="0" t="0" r="6350" b="381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3"/>
                        <a:stretch>
                          <a:fillRect/>
                        </a:stretch>
                      </pic:blipFill>
                      <pic:spPr>
                        <a:xfrm>
                          <a:off x="0" y="0"/>
                          <a:ext cx="7588800" cy="10728000"/>
                        </a:xfrm>
                        <a:prstGeom prst="rect">
                          <a:avLst/>
                        </a:prstGeom>
                      </pic:spPr>
                    </pic:pic>
                  </a:graphicData>
                </a:graphic>
                <wp14:sizeRelH relativeFrom="margin">
                  <wp14:pctWidth>0</wp14:pctWidth>
                </wp14:sizeRelH>
                <wp14:sizeRelV relativeFrom="margin">
                  <wp14:pctHeight>0</wp14:pctHeight>
                </wp14:sizeRelV>
              </wp:anchor>
            </w:drawing>
          </w:r>
        </w:p>
        <w:p w14:paraId="205D1CBF" w14:textId="77777777" w:rsidR="00D11582" w:rsidRDefault="00D11582" w:rsidP="00682133">
          <w:pPr>
            <w:spacing w:line="264" w:lineRule="auto"/>
            <w:rPr>
              <w:noProof/>
              <w:sz w:val="2"/>
              <w:szCs w:val="2"/>
            </w:rPr>
          </w:pPr>
          <w:r w:rsidRPr="003E6DCC">
            <w:rPr>
              <w:noProof/>
              <w:color w:val="0F5CA2" w:themeColor="accent1"/>
              <w:sz w:val="36"/>
              <w:szCs w:val="36"/>
            </w:rPr>
            <mc:AlternateContent>
              <mc:Choice Requires="wps">
                <w:drawing>
                  <wp:anchor distT="45720" distB="45720" distL="114300" distR="114300" simplePos="0" relativeHeight="251658240" behindDoc="0" locked="0" layoutInCell="1" allowOverlap="1" wp14:anchorId="09E8B38C" wp14:editId="6AC46894">
                    <wp:simplePos x="0" y="0"/>
                    <wp:positionH relativeFrom="column">
                      <wp:posOffset>170815</wp:posOffset>
                    </wp:positionH>
                    <wp:positionV relativeFrom="page">
                      <wp:posOffset>3403600</wp:posOffset>
                    </wp:positionV>
                    <wp:extent cx="5715000" cy="23177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17750"/>
                            </a:xfrm>
                            <a:prstGeom prst="rect">
                              <a:avLst/>
                            </a:prstGeom>
                            <a:noFill/>
                            <a:ln w="9525">
                              <a:noFill/>
                              <a:miter lim="800000"/>
                              <a:headEnd/>
                              <a:tailEnd/>
                            </a:ln>
                          </wps:spPr>
                          <wps:txbx>
                            <w:txbxContent>
                              <w:sdt>
                                <w:sdtPr>
                                  <w:rPr>
                                    <w:rFonts w:ascii="Fira Sans Black" w:hAnsi="Fira Sans Black"/>
                                    <w:bCs/>
                                    <w:color w:val="FFFFFF" w:themeColor="background1"/>
                                    <w:sz w:val="78"/>
                                    <w:szCs w:val="78"/>
                                  </w:rPr>
                                  <w:alias w:val="Title"/>
                                  <w:tag w:val=""/>
                                  <w:id w:val="180709946"/>
                                  <w:dataBinding w:prefixMappings="xmlns:ns0='http://purl.org/dc/elements/1.1/' xmlns:ns1='http://schemas.openxmlformats.org/package/2006/metadata/core-properties' " w:xpath="/ns1:coreProperties[1]/ns0:title[1]" w:storeItemID="{6C3C8BC8-F283-45AE-878A-BAB7291924A1}"/>
                                  <w:text/>
                                </w:sdtPr>
                                <w:sdtEndPr/>
                                <w:sdtContent>
                                  <w:p w14:paraId="2BDA2F24" w14:textId="3EE3FD3F" w:rsidR="00D11582" w:rsidRPr="00194958" w:rsidRDefault="00500D6A" w:rsidP="00682133">
                                    <w:pPr>
                                      <w:pStyle w:val="Title"/>
                                      <w:rPr>
                                        <w:rFonts w:ascii="Fira Sans Black" w:hAnsi="Fira Sans Black"/>
                                        <w:bCs/>
                                        <w:color w:val="FFFFFF" w:themeColor="background1"/>
                                        <w:sz w:val="78"/>
                                        <w:szCs w:val="78"/>
                                      </w:rPr>
                                    </w:pPr>
                                    <w:r>
                                      <w:rPr>
                                        <w:rFonts w:ascii="Fira Sans Black" w:hAnsi="Fira Sans Black"/>
                                        <w:bCs/>
                                        <w:color w:val="FFFFFF" w:themeColor="background1"/>
                                        <w:sz w:val="78"/>
                                        <w:szCs w:val="78"/>
                                      </w:rPr>
                                      <w:t>Queensland Health Non Admitted Patient Data Collection (QHNAPDC)</w:t>
                                    </w:r>
                                  </w:p>
                                </w:sdtContent>
                              </w:sdt>
                              <w:p w14:paraId="6C4F2FF9" w14:textId="615839B4" w:rsidR="00D11582" w:rsidRPr="00194958" w:rsidRDefault="00EC2651" w:rsidP="00682133">
                                <w:pPr>
                                  <w:rPr>
                                    <w:color w:val="85C446" w:themeColor="accent2"/>
                                    <w:sz w:val="42"/>
                                    <w:szCs w:val="42"/>
                                  </w:rPr>
                                </w:pPr>
                                <w:sdt>
                                  <w:sdtPr>
                                    <w:rPr>
                                      <w:rStyle w:val="SubtitleChar"/>
                                      <w:color w:val="85C446" w:themeColor="accent2"/>
                                      <w:sz w:val="42"/>
                                      <w:szCs w:val="42"/>
                                    </w:rPr>
                                    <w:alias w:val="Subject"/>
                                    <w:tag w:val=""/>
                                    <w:id w:val="-1654676487"/>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500D6A">
                                      <w:rPr>
                                        <w:rStyle w:val="SubtitleChar"/>
                                        <w:color w:val="85C446" w:themeColor="accent2"/>
                                        <w:sz w:val="42"/>
                                        <w:szCs w:val="42"/>
                                      </w:rPr>
                                      <w:t>2024-2025 Business Rules</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8B38C" id="_x0000_t202" coordsize="21600,21600" o:spt="202" path="m,l,21600r21600,l21600,xe">
                    <v:stroke joinstyle="miter"/>
                    <v:path gradientshapeok="t" o:connecttype="rect"/>
                  </v:shapetype>
                  <v:shape id="Text Box 2" o:spid="_x0000_s1026" type="#_x0000_t202" style="position:absolute;margin-left:13.45pt;margin-top:268pt;width:450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ma+QEAAM4DAAAOAAAAZHJzL2Uyb0RvYy54bWysU9tu2zAMfR+wfxD0vtjO4qU14hRduw4D&#10;ugvQ7gNkWY6FSaImKbGzry8lu2mwvg17EUhRPOQ5pDZXo1bkIJyXYGpaLHJKhOHQSrOr6c/Hu3cX&#10;lPjATMsUGFHTo/D0avv2zWawlVhCD6oVjiCI8dVga9qHYKss87wXmvkFWGEw2IHTLKDrdlnr2IDo&#10;WmXLPP+QDeBa64AL7/H2dgrSbcLvOsHD967zIhBVU+wtpNOls4lntt2waueY7SWf22D/0IVm0mDR&#10;E9QtC4zsnXwFpSV34KELCw46g66TXCQOyKbI/2Lz0DMrEhcUx9uTTP7/wfJvhwf7w5EwfoQRB5hI&#10;eHsP/JcnBm56Znbi2jkYesFaLFxEybLB+mpOjVL7ykeQZvgKLQ6Z7QMkoLFzOqqCPAmi4wCOJ9HF&#10;GAjHy3JdlHmOIY6x5ftivS7TWDJWPadb58NnAZpEo6YOp5rg2eHeh9gOq56fxGoG7qRSabLKkKGm&#10;l+WyTAlnES0DLp6SuqYXWB4bSAmR5SfTJjswqSYbCygz045MJ85hbEZ8GOk30B5RAAfTguGHQKMH&#10;94eSAZerpv73njlBifpiUMTLYrWK25icVbleouPOI815hBmOUDUNlEzmTUgbPHG9RrE7mWR46WTu&#10;FZcmqTMveNzKcz+9evmG2ycAAAD//wMAUEsDBBQABgAIAAAAIQBztavE3QAAAAoBAAAPAAAAZHJz&#10;L2Rvd25yZXYueG1sTI9PT8MwDMXvSHyHyEjcWLLBKlqaTgjEFcT4I3HzGq+taJyqydby7TFc4Gb7&#10;PT3/XrmZfa+ONMYusIXlwoAiroPruLHw+vJwcQ0qJmSHfWCy8EURNtXpSYmFCxM/03GbGiUhHAu0&#10;0KY0FFrHuiWPcREGYtH2YfSYZB0b7UacJNz3emVMpj12LB9aHOiupfpze/AW3h73H+9X5qm59+th&#10;CrPR7HNt7fnZfHsDKtGc/szwgy/oUAnTLhzYRdVbWGW5OC2sLzPpJIb897KTwSwN6KrU/ytU3wAA&#10;AP//AwBQSwECLQAUAAYACAAAACEAtoM4kv4AAADhAQAAEwAAAAAAAAAAAAAAAAAAAAAAW0NvbnRl&#10;bnRfVHlwZXNdLnhtbFBLAQItABQABgAIAAAAIQA4/SH/1gAAAJQBAAALAAAAAAAAAAAAAAAAAC8B&#10;AABfcmVscy8ucmVsc1BLAQItABQABgAIAAAAIQDPtsma+QEAAM4DAAAOAAAAAAAAAAAAAAAAAC4C&#10;AABkcnMvZTJvRG9jLnhtbFBLAQItABQABgAIAAAAIQBztavE3QAAAAoBAAAPAAAAAAAAAAAAAAAA&#10;AFMEAABkcnMvZG93bnJldi54bWxQSwUGAAAAAAQABADzAAAAXQUAAAAA&#10;" filled="f" stroked="f">
                    <v:textbox>
                      <w:txbxContent>
                        <w:sdt>
                          <w:sdtPr>
                            <w:rPr>
                              <w:rFonts w:ascii="Fira Sans Black" w:hAnsi="Fira Sans Black"/>
                              <w:bCs/>
                              <w:color w:val="FFFFFF" w:themeColor="background1"/>
                              <w:sz w:val="78"/>
                              <w:szCs w:val="78"/>
                            </w:rPr>
                            <w:alias w:val="Title"/>
                            <w:tag w:val=""/>
                            <w:id w:val="180709946"/>
                            <w:dataBinding w:prefixMappings="xmlns:ns0='http://purl.org/dc/elements/1.1/' xmlns:ns1='http://schemas.openxmlformats.org/package/2006/metadata/core-properties' " w:xpath="/ns1:coreProperties[1]/ns0:title[1]" w:storeItemID="{6C3C8BC8-F283-45AE-878A-BAB7291924A1}"/>
                            <w:text/>
                          </w:sdtPr>
                          <w:sdtEndPr/>
                          <w:sdtContent>
                            <w:p w14:paraId="2BDA2F24" w14:textId="3EE3FD3F" w:rsidR="00D11582" w:rsidRPr="00194958" w:rsidRDefault="00500D6A" w:rsidP="00682133">
                              <w:pPr>
                                <w:pStyle w:val="Title"/>
                                <w:rPr>
                                  <w:rFonts w:ascii="Fira Sans Black" w:hAnsi="Fira Sans Black"/>
                                  <w:bCs/>
                                  <w:color w:val="FFFFFF" w:themeColor="background1"/>
                                  <w:sz w:val="78"/>
                                  <w:szCs w:val="78"/>
                                </w:rPr>
                              </w:pPr>
                              <w:r>
                                <w:rPr>
                                  <w:rFonts w:ascii="Fira Sans Black" w:hAnsi="Fira Sans Black"/>
                                  <w:bCs/>
                                  <w:color w:val="FFFFFF" w:themeColor="background1"/>
                                  <w:sz w:val="78"/>
                                  <w:szCs w:val="78"/>
                                </w:rPr>
                                <w:t>Queensland Health Non Admitted Patient Data Collection (QHNAPDC)</w:t>
                              </w:r>
                            </w:p>
                          </w:sdtContent>
                        </w:sdt>
                        <w:p w14:paraId="6C4F2FF9" w14:textId="615839B4" w:rsidR="00D11582" w:rsidRPr="00194958" w:rsidRDefault="00EC2651" w:rsidP="00682133">
                          <w:pPr>
                            <w:rPr>
                              <w:color w:val="85C446" w:themeColor="accent2"/>
                              <w:sz w:val="42"/>
                              <w:szCs w:val="42"/>
                            </w:rPr>
                          </w:pPr>
                          <w:sdt>
                            <w:sdtPr>
                              <w:rPr>
                                <w:rStyle w:val="SubtitleChar"/>
                                <w:color w:val="85C446" w:themeColor="accent2"/>
                                <w:sz w:val="42"/>
                                <w:szCs w:val="42"/>
                              </w:rPr>
                              <w:alias w:val="Subject"/>
                              <w:tag w:val=""/>
                              <w:id w:val="-1654676487"/>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500D6A">
                                <w:rPr>
                                  <w:rStyle w:val="SubtitleChar"/>
                                  <w:color w:val="85C446" w:themeColor="accent2"/>
                                  <w:sz w:val="42"/>
                                  <w:szCs w:val="42"/>
                                </w:rPr>
                                <w:t>2024-2025 Business Rules</w:t>
                              </w:r>
                            </w:sdtContent>
                          </w:sdt>
                        </w:p>
                      </w:txbxContent>
                    </v:textbox>
                    <w10:wrap type="square" anchory="page"/>
                  </v:shape>
                </w:pict>
              </mc:Fallback>
            </mc:AlternateContent>
          </w:r>
          <w:r>
            <w:rPr>
              <w:noProof/>
              <w:sz w:val="2"/>
              <w:szCs w:val="2"/>
            </w:rPr>
            <w:br w:type="page"/>
          </w:r>
        </w:p>
      </w:sdtContent>
    </w:sdt>
    <w:p w14:paraId="002AF60D" w14:textId="4E113175" w:rsidR="00757ADC" w:rsidRDefault="00757ADC"/>
    <w:p w14:paraId="04A3477A" w14:textId="744FC60A" w:rsidR="00F66FED" w:rsidRDefault="00F66FED"/>
    <w:p w14:paraId="336D709C" w14:textId="0885D7A2" w:rsidR="00F66FED" w:rsidRDefault="00F66FED"/>
    <w:p w14:paraId="11AE15DB" w14:textId="5E892848" w:rsidR="00F66FED" w:rsidRDefault="00F66FED"/>
    <w:p w14:paraId="4EDB3510" w14:textId="4A8F77A9" w:rsidR="00F66FED" w:rsidRDefault="00F66FED"/>
    <w:p w14:paraId="7CEE67DB" w14:textId="6113381D" w:rsidR="00F66FED" w:rsidRDefault="00F66FED"/>
    <w:p w14:paraId="395C9E9B" w14:textId="313D73A1" w:rsidR="00F66FED" w:rsidRDefault="00F66FED"/>
    <w:p w14:paraId="1D89C0BB" w14:textId="48B38639" w:rsidR="00F66FED" w:rsidRDefault="00F66FED"/>
    <w:p w14:paraId="2A310CB4" w14:textId="39665140" w:rsidR="00F66FED" w:rsidRDefault="00F66FED"/>
    <w:p w14:paraId="2547C42A" w14:textId="4D3D56C6" w:rsidR="00F66FED" w:rsidRDefault="00F66FED"/>
    <w:p w14:paraId="4536C9C3" w14:textId="61E723E4" w:rsidR="00F66FED" w:rsidRDefault="00F66FED"/>
    <w:p w14:paraId="7B58CACD" w14:textId="186906AC" w:rsidR="00F66FED" w:rsidRDefault="00F66FED"/>
    <w:p w14:paraId="1031B30E" w14:textId="5DAEC6E6" w:rsidR="00F66FED" w:rsidRDefault="00F66FED"/>
    <w:p w14:paraId="151142D8" w14:textId="523E116A" w:rsidR="00F66FED" w:rsidRDefault="00F66FED"/>
    <w:p w14:paraId="322EEB25" w14:textId="4CFFC9E6" w:rsidR="00F66FED" w:rsidRDefault="00F66FED"/>
    <w:p w14:paraId="0BF16622" w14:textId="46E7D734" w:rsidR="00F66FED" w:rsidRDefault="00F66FED"/>
    <w:p w14:paraId="4737D037" w14:textId="433B9E27" w:rsidR="00F66FED" w:rsidRDefault="00F66FED"/>
    <w:p w14:paraId="612F25A4" w14:textId="76225FD5" w:rsidR="00F66FED" w:rsidRDefault="00F66FED"/>
    <w:p w14:paraId="1FC37387" w14:textId="2833D358" w:rsidR="00303C10" w:rsidRDefault="00303C10"/>
    <w:p w14:paraId="673F8D84" w14:textId="0C24E3C9" w:rsidR="00303C10" w:rsidRDefault="00303C10"/>
    <w:p w14:paraId="7E435FE5" w14:textId="5A40FB67" w:rsidR="00303C10" w:rsidRDefault="00303C10"/>
    <w:p w14:paraId="09F9781C" w14:textId="77777777" w:rsidR="00303C10" w:rsidRDefault="00303C10"/>
    <w:p w14:paraId="42EAB1F9" w14:textId="77777777" w:rsidR="00303C10" w:rsidRDefault="00303C10"/>
    <w:p w14:paraId="4215288C" w14:textId="77777777" w:rsidR="00F66FED" w:rsidRDefault="00F66FED"/>
    <w:p w14:paraId="2A0D3553" w14:textId="57C38885" w:rsidR="00F66FED" w:rsidRDefault="00F66FED"/>
    <w:p w14:paraId="03592838" w14:textId="42818DE8" w:rsidR="00F66FED" w:rsidRDefault="00F66FED"/>
    <w:p w14:paraId="70605BFD" w14:textId="77777777" w:rsidR="00303C10" w:rsidRDefault="00303C10"/>
    <w:p w14:paraId="5C190BDE" w14:textId="47E936E3" w:rsidR="00F66FED" w:rsidRDefault="00F66FED"/>
    <w:p w14:paraId="5F2335F4" w14:textId="7EB79E49" w:rsidR="00F66FED" w:rsidRPr="000D3BDA" w:rsidRDefault="00EC2651" w:rsidP="00F66FED">
      <w:pPr>
        <w:spacing w:before="160" w:after="120"/>
        <w:textboxTightWrap w:val="allLines"/>
        <w:outlineLvl w:val="4"/>
        <w:rPr>
          <w:rFonts w:ascii="Fira Sans SemiBold" w:eastAsia="Times New Roman" w:hAnsi="Fira Sans SemiBold" w:cs="Arial"/>
          <w:color w:val="000000"/>
          <w:kern w:val="21"/>
          <w:sz w:val="20"/>
          <w:szCs w:val="24"/>
          <w14:numSpacing w14:val="proportional"/>
        </w:rPr>
      </w:pPr>
      <w:sdt>
        <w:sdtPr>
          <w:rPr>
            <w:rFonts w:ascii="Fira Sans SemiBold" w:hAnsi="Fira Sans SemiBold"/>
            <w:color w:val="404040" w:themeColor="text1" w:themeTint="BF"/>
            <w:kern w:val="21"/>
            <w:sz w:val="24"/>
            <w:szCs w:val="24"/>
            <w14:numSpacing w14:val="proportional"/>
          </w:rPr>
          <w:alias w:val="Title"/>
          <w:tag w:val=""/>
          <w:id w:val="-1746870696"/>
          <w:placeholder>
            <w:docPart w:val="2CB375382ECD413FBD0BE4FC96DC3A75"/>
          </w:placeholder>
          <w:dataBinding w:prefixMappings="xmlns:ns0='http://purl.org/dc/elements/1.1/' xmlns:ns1='http://schemas.openxmlformats.org/package/2006/metadata/core-properties' " w:xpath="/ns1:coreProperties[1]/ns0:title[1]" w:storeItemID="{6C3C8BC8-F283-45AE-878A-BAB7291924A1}"/>
          <w:text/>
        </w:sdtPr>
        <w:sdtEndPr/>
        <w:sdtContent>
          <w:r w:rsidR="00F66FED">
            <w:rPr>
              <w:rFonts w:ascii="Fira Sans SemiBold" w:hAnsi="Fira Sans SemiBold"/>
              <w:color w:val="404040" w:themeColor="text1" w:themeTint="BF"/>
              <w:kern w:val="21"/>
              <w:sz w:val="24"/>
              <w:szCs w:val="24"/>
              <w14:numSpacing w14:val="proportional"/>
            </w:rPr>
            <w:t>Queensland Health Non Admitted Patient Data Collection (QHNAPDC)</w:t>
          </w:r>
        </w:sdtContent>
      </w:sdt>
      <w:r w:rsidR="00F66FED" w:rsidRPr="000D3BDA">
        <w:rPr>
          <w:rFonts w:ascii="Fira Sans SemiBold" w:hAnsi="Fira Sans SemiBold"/>
          <w:color w:val="404040" w:themeColor="text1" w:themeTint="BF"/>
          <w:kern w:val="21"/>
          <w:sz w:val="24"/>
          <w:szCs w:val="24"/>
          <w14:numSpacing w14:val="proportional"/>
        </w:rPr>
        <w:t xml:space="preserve"> - </w:t>
      </w:r>
      <w:sdt>
        <w:sdtPr>
          <w:rPr>
            <w:rFonts w:ascii="Fira Sans SemiBold" w:hAnsi="Fira Sans SemiBold"/>
            <w:color w:val="404040" w:themeColor="text1" w:themeTint="BF"/>
            <w:kern w:val="21"/>
            <w:sz w:val="24"/>
            <w:szCs w:val="24"/>
            <w14:numSpacing w14:val="proportional"/>
          </w:rPr>
          <w:alias w:val="Subject"/>
          <w:tag w:val=""/>
          <w:id w:val="2056348553"/>
          <w:placeholder>
            <w:docPart w:val="7BEDDBB2AF884831A155496F320470FA"/>
          </w:placeholder>
          <w:dataBinding w:prefixMappings="xmlns:ns0='http://purl.org/dc/elements/1.1/' xmlns:ns1='http://schemas.openxmlformats.org/package/2006/metadata/core-properties' " w:xpath="/ns1:coreProperties[1]/ns0:subject[1]" w:storeItemID="{6C3C8BC8-F283-45AE-878A-BAB7291924A1}"/>
          <w:text/>
        </w:sdtPr>
        <w:sdtEndPr/>
        <w:sdtContent>
          <w:r w:rsidR="00F66FED">
            <w:rPr>
              <w:rFonts w:ascii="Fira Sans SemiBold" w:hAnsi="Fira Sans SemiBold"/>
              <w:color w:val="404040" w:themeColor="text1" w:themeTint="BF"/>
              <w:kern w:val="21"/>
              <w:sz w:val="24"/>
              <w:szCs w:val="24"/>
              <w14:numSpacing w14:val="proportional"/>
            </w:rPr>
            <w:t>2024-2025 Business Rules</w:t>
          </w:r>
        </w:sdtContent>
      </w:sdt>
    </w:p>
    <w:p w14:paraId="64D9ABC7" w14:textId="77777777" w:rsidR="00F66FED" w:rsidRPr="000D3BDA" w:rsidRDefault="00F66FED" w:rsidP="00F66FED">
      <w:pPr>
        <w:spacing w:before="60" w:after="60" w:line="240" w:lineRule="auto"/>
        <w:textboxTightWrap w:val="allLines"/>
        <w:rPr>
          <w:color w:val="404040" w:themeColor="text1" w:themeTint="BF"/>
          <w:kern w:val="21"/>
          <w:sz w:val="20"/>
          <w:szCs w:val="20"/>
          <w14:numSpacing w14:val="proportional"/>
        </w:rPr>
      </w:pPr>
      <w:r w:rsidRPr="000D3BDA">
        <w:rPr>
          <w:noProof/>
          <w:color w:val="404040" w:themeColor="text1" w:themeTint="BF"/>
          <w:kern w:val="21"/>
          <w:sz w:val="20"/>
          <w:szCs w:val="20"/>
          <w14:numSpacing w14:val="proportional"/>
        </w:rPr>
        <w:drawing>
          <wp:anchor distT="0" distB="107950" distL="114300" distR="114300" simplePos="0" relativeHeight="251658242" behindDoc="0" locked="0" layoutInCell="1" allowOverlap="1" wp14:anchorId="67D8DBD7" wp14:editId="0576B388">
            <wp:simplePos x="0" y="0"/>
            <wp:positionH relativeFrom="column">
              <wp:posOffset>13335</wp:posOffset>
            </wp:positionH>
            <wp:positionV relativeFrom="paragraph">
              <wp:posOffset>407670</wp:posOffset>
            </wp:positionV>
            <wp:extent cx="1123950" cy="388620"/>
            <wp:effectExtent l="0" t="0" r="0" b="0"/>
            <wp:wrapTopAndBottom/>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112395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BDA">
        <w:rPr>
          <w:color w:val="404040" w:themeColor="text1" w:themeTint="BF"/>
          <w:kern w:val="21"/>
          <w:sz w:val="20"/>
          <w:szCs w:val="20"/>
          <w14:numSpacing w14:val="proportional"/>
        </w:rPr>
        <w:t xml:space="preserve">Published by the State of Queensland (Queensland Health), </w:t>
      </w:r>
      <w:sdt>
        <w:sdtPr>
          <w:rPr>
            <w:color w:val="404040" w:themeColor="text1" w:themeTint="BF"/>
            <w:kern w:val="21"/>
            <w:sz w:val="20"/>
            <w:szCs w:val="20"/>
            <w14:numSpacing w14:val="proportional"/>
          </w:rPr>
          <w:alias w:val="Publish Date"/>
          <w:tag w:val="Publish Date"/>
          <w:id w:val="-672255170"/>
          <w:placeholder>
            <w:docPart w:val="D41CD4715D3F4F96A50CC40845F47014"/>
          </w:placeholder>
          <w15:color w:val="99CC00"/>
          <w:date w:fullDate="2024-07-01T00:00:00Z">
            <w:dateFormat w:val="MMMM yyyy"/>
            <w:lid w:val="en-AU"/>
            <w:storeMappedDataAs w:val="dateTime"/>
            <w:calendar w:val="gregorian"/>
          </w:date>
        </w:sdtPr>
        <w:sdtEndPr/>
        <w:sdtContent>
          <w:r>
            <w:rPr>
              <w:color w:val="404040" w:themeColor="text1" w:themeTint="BF"/>
              <w:kern w:val="21"/>
              <w:sz w:val="20"/>
              <w:szCs w:val="20"/>
              <w:lang w:val="en-AU"/>
              <w14:numSpacing w14:val="proportional"/>
            </w:rPr>
            <w:t>July 2024</w:t>
          </w:r>
        </w:sdtContent>
      </w:sdt>
      <w:r w:rsidRPr="000D3BDA">
        <w:rPr>
          <w:color w:val="404040" w:themeColor="text1" w:themeTint="BF"/>
          <w:kern w:val="21"/>
          <w:sz w:val="20"/>
          <w:szCs w:val="20"/>
          <w14:numSpacing w14:val="proportional"/>
        </w:rPr>
        <w:t xml:space="preserve"> </w:t>
      </w:r>
    </w:p>
    <w:p w14:paraId="0D9FDED7" w14:textId="77777777" w:rsidR="00F66FED" w:rsidRPr="000D3BDA" w:rsidRDefault="00F66FED" w:rsidP="00F66FED">
      <w:pPr>
        <w:spacing w:before="60" w:after="60" w:line="240" w:lineRule="auto"/>
        <w:textboxTightWrap w:val="allLines"/>
        <w:rPr>
          <w:color w:val="404040" w:themeColor="text1" w:themeTint="BF"/>
          <w:kern w:val="21"/>
          <w:sz w:val="18"/>
          <w:szCs w:val="18"/>
          <w14:numSpacing w14:val="proportional"/>
        </w:rPr>
      </w:pPr>
      <w:r w:rsidRPr="000D3BDA">
        <w:rPr>
          <w:color w:val="404040" w:themeColor="text1" w:themeTint="BF"/>
          <w:kern w:val="21"/>
          <w:sz w:val="20"/>
          <w:szCs w:val="20"/>
          <w14:numSpacing w14:val="proportional"/>
        </w:rPr>
        <w:t xml:space="preserve">This document is licensed under a Creative </w:t>
      </w:r>
      <w:r w:rsidRPr="000D3BDA">
        <w:rPr>
          <w:color w:val="404040" w:themeColor="text1" w:themeTint="BF"/>
          <w:kern w:val="21"/>
          <w:sz w:val="18"/>
          <w:szCs w:val="18"/>
          <w14:numSpacing w14:val="proportional"/>
        </w:rPr>
        <w:t>Commons Attribution 3.0 Australia licence.</w:t>
      </w:r>
    </w:p>
    <w:p w14:paraId="4934A703" w14:textId="77777777" w:rsidR="00F66FED" w:rsidRPr="000D3BDA" w:rsidRDefault="00F66FED" w:rsidP="00F66FED">
      <w:pPr>
        <w:spacing w:before="60" w:after="60"/>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To view a copy of this licence, visit creativecommons.org/licenses/by/3.0/au</w:t>
      </w:r>
    </w:p>
    <w:p w14:paraId="03F7EDD1" w14:textId="77777777" w:rsidR="00F66FED" w:rsidRPr="000D3BDA" w:rsidRDefault="00F66FED" w:rsidP="00F66FED">
      <w:pPr>
        <w:spacing w:before="60" w:after="60"/>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 xml:space="preserve">© State of Queensland (Queensland Health) </w:t>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CREATEDATE  \@ "yyyy"  \* MERGEFORMAT </w:instrText>
      </w:r>
      <w:r w:rsidRPr="000D3BDA">
        <w:rPr>
          <w:color w:val="404040" w:themeColor="text1" w:themeTint="BF"/>
          <w:kern w:val="21"/>
          <w:sz w:val="18"/>
          <w:szCs w:val="18"/>
          <w14:numSpacing w14:val="proportional"/>
        </w:rPr>
        <w:fldChar w:fldCharType="separate"/>
      </w:r>
      <w:r>
        <w:rPr>
          <w:noProof/>
          <w:color w:val="404040" w:themeColor="text1" w:themeTint="BF"/>
          <w:kern w:val="21"/>
          <w:sz w:val="18"/>
          <w:szCs w:val="18"/>
          <w14:numSpacing w14:val="proportional"/>
        </w:rPr>
        <w:t>202</w:t>
      </w:r>
      <w:r w:rsidRPr="000D3BDA">
        <w:rPr>
          <w:color w:val="404040" w:themeColor="text1" w:themeTint="BF"/>
          <w:kern w:val="21"/>
          <w:sz w:val="18"/>
          <w:szCs w:val="18"/>
          <w14:numSpacing w14:val="proportional"/>
        </w:rPr>
        <w:fldChar w:fldCharType="end"/>
      </w:r>
      <w:r>
        <w:rPr>
          <w:color w:val="404040" w:themeColor="text1" w:themeTint="BF"/>
          <w:kern w:val="21"/>
          <w:sz w:val="18"/>
          <w:szCs w:val="18"/>
          <w14:numSpacing w14:val="proportional"/>
        </w:rPr>
        <w:t>4</w:t>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DOCVARIABLE  YEAR  \* MERGEFORMAT </w:instrText>
      </w:r>
      <w:r w:rsidRPr="000D3BDA">
        <w:rPr>
          <w:color w:val="404040" w:themeColor="text1" w:themeTint="BF"/>
          <w:kern w:val="21"/>
          <w:sz w:val="18"/>
          <w:szCs w:val="18"/>
          <w14:numSpacing w14:val="proportional"/>
        </w:rPr>
        <w:fldChar w:fldCharType="end"/>
      </w:r>
      <w:r w:rsidRPr="000D3BDA">
        <w:rPr>
          <w:color w:val="404040" w:themeColor="text1" w:themeTint="BF"/>
          <w:kern w:val="21"/>
          <w:sz w:val="18"/>
          <w:szCs w:val="18"/>
          <w14:numSpacing w14:val="proportional"/>
        </w:rPr>
        <w:fldChar w:fldCharType="begin"/>
      </w:r>
      <w:r w:rsidRPr="000D3BDA">
        <w:rPr>
          <w:color w:val="404040" w:themeColor="text1" w:themeTint="BF"/>
          <w:kern w:val="21"/>
          <w:sz w:val="18"/>
          <w:szCs w:val="18"/>
          <w14:numSpacing w14:val="proportional"/>
        </w:rPr>
        <w:instrText xml:space="preserve"> DOCVARIABLE  YEAR  \* MERGEFORMAT </w:instrText>
      </w:r>
      <w:r w:rsidRPr="000D3BDA">
        <w:rPr>
          <w:color w:val="404040" w:themeColor="text1" w:themeTint="BF"/>
          <w:kern w:val="21"/>
          <w:sz w:val="18"/>
          <w:szCs w:val="18"/>
          <w14:numSpacing w14:val="proportional"/>
        </w:rPr>
        <w:fldChar w:fldCharType="end"/>
      </w:r>
    </w:p>
    <w:p w14:paraId="596B2897" w14:textId="77777777" w:rsidR="00F66FED" w:rsidRPr="000D3BDA" w:rsidRDefault="00F66FED" w:rsidP="00F66FED">
      <w:pPr>
        <w:spacing w:before="60" w:after="60" w:line="240" w:lineRule="auto"/>
        <w:textboxTightWrap w:val="allLines"/>
        <w:rPr>
          <w:color w:val="404040" w:themeColor="text1" w:themeTint="BF"/>
          <w:kern w:val="21"/>
          <w:sz w:val="18"/>
          <w:szCs w:val="18"/>
          <w14:numSpacing w14:val="proportional"/>
        </w:rPr>
      </w:pPr>
      <w:r w:rsidRPr="000D3BDA">
        <w:rPr>
          <w:color w:val="404040" w:themeColor="text1" w:themeTint="BF"/>
          <w:kern w:val="21"/>
          <w:sz w:val="18"/>
          <w:szCs w:val="18"/>
          <w14:numSpacing w14:val="proportional"/>
        </w:rPr>
        <w:t>You are free to copy, communicate and adapt the work, as long as you attribute the State of Queensland (Queensland Health).</w:t>
      </w:r>
    </w:p>
    <w:p w14:paraId="7F01157F" w14:textId="77777777" w:rsidR="00F66FED" w:rsidRPr="000D3BDA" w:rsidRDefault="00F66FED" w:rsidP="00F66FED">
      <w:pPr>
        <w:spacing w:before="160" w:after="120"/>
        <w:textboxTightWrap w:val="allLines"/>
        <w:outlineLvl w:val="4"/>
        <w:rPr>
          <w:rFonts w:ascii="Fira Sans SemiBold" w:hAnsi="Fira Sans SemiBold"/>
          <w:bCs/>
          <w:color w:val="404040" w:themeColor="text1" w:themeTint="BF"/>
          <w:spacing w:val="2"/>
          <w:kern w:val="21"/>
          <w14:numSpacing w14:val="proportional"/>
        </w:rPr>
      </w:pPr>
      <w:r w:rsidRPr="000D3BDA">
        <w:rPr>
          <w:rFonts w:ascii="Fira Sans SemiBold" w:hAnsi="Fira Sans SemiBold"/>
          <w:bCs/>
          <w:color w:val="404040" w:themeColor="text1" w:themeTint="BF"/>
          <w:spacing w:val="2"/>
          <w:kern w:val="21"/>
          <w14:numSpacing w14:val="proportional"/>
        </w:rPr>
        <w:t>For more information contact:</w:t>
      </w:r>
    </w:p>
    <w:p w14:paraId="67A2B7DF" w14:textId="77777777" w:rsidR="00F66FED" w:rsidRPr="000D3BDA" w:rsidRDefault="00F66FED" w:rsidP="00F66FED">
      <w:pPr>
        <w:spacing w:before="120" w:after="120"/>
        <w:textboxTightWrap w:val="allLines"/>
        <w:rPr>
          <w:color w:val="404040" w:themeColor="text1" w:themeTint="BF"/>
          <w:kern w:val="21"/>
          <w14:numSpacing w14:val="proportional"/>
        </w:rPr>
      </w:pPr>
      <w:r>
        <w:rPr>
          <w:color w:val="404040" w:themeColor="text1" w:themeTint="BF"/>
          <w:kern w:val="21"/>
          <w:shd w:val="clear" w:color="auto" w:fill="FFFFFF" w:themeFill="background1"/>
          <w14:numSpacing w14:val="proportional"/>
        </w:rPr>
        <w:t>Statistical Services Branch, Department of Health</w:t>
      </w:r>
      <w:r w:rsidRPr="000D3BDA">
        <w:rPr>
          <w:color w:val="404040" w:themeColor="text1" w:themeTint="BF"/>
          <w:kern w:val="21"/>
          <w14:numSpacing w14:val="proportional"/>
        </w:rPr>
        <w:t xml:space="preserve">, Queensland Health, GPO Box 48, Brisbane QLD 4001, email </w:t>
      </w:r>
      <w:r>
        <w:rPr>
          <w:color w:val="404040" w:themeColor="text1" w:themeTint="BF"/>
          <w:kern w:val="21"/>
          <w14:numSpacing w14:val="proportional"/>
        </w:rPr>
        <w:t>MASmail@health.qld.gov.au</w:t>
      </w:r>
      <w:r w:rsidRPr="000D3BDA">
        <w:rPr>
          <w:color w:val="404040" w:themeColor="text1" w:themeTint="BF"/>
          <w:kern w:val="21"/>
          <w14:numSpacing w14:val="proportional"/>
        </w:rPr>
        <w:t>.</w:t>
      </w:r>
    </w:p>
    <w:p w14:paraId="58EB8A3D" w14:textId="53DBD842" w:rsidR="00303C10" w:rsidRDefault="00F66FED" w:rsidP="00303C10">
      <w:pPr>
        <w:spacing w:before="120" w:after="120"/>
        <w:textboxTightWrap w:val="allLines"/>
        <w:rPr>
          <w:color w:val="404040" w:themeColor="text1" w:themeTint="BF"/>
          <w:kern w:val="21"/>
          <w14:numSpacing w14:val="proportional"/>
        </w:rPr>
      </w:pPr>
      <w:r w:rsidRPr="000D3BDA">
        <w:rPr>
          <w:color w:val="404040" w:themeColor="text1" w:themeTint="BF"/>
          <w:kern w:val="21"/>
          <w14:numSpacing w14:val="proportional"/>
        </w:rPr>
        <w:t xml:space="preserve">An electronic version of this document is available at </w:t>
      </w:r>
      <w:hyperlink r:id="rId15" w:history="1">
        <w:r w:rsidR="00303C10" w:rsidRPr="00580B50">
          <w:rPr>
            <w:rStyle w:val="Hyperlink"/>
            <w:kern w:val="21"/>
            <w14:numSpacing w14:val="proportional"/>
          </w:rPr>
          <w:t>https://www.health.qld.gov.au/hsu/collections/qhnapdc</w:t>
        </w:r>
      </w:hyperlink>
    </w:p>
    <w:p w14:paraId="376DCCDB" w14:textId="77777777" w:rsidR="00303C10" w:rsidRDefault="00303C10">
      <w:pPr>
        <w:rPr>
          <w:color w:val="404040" w:themeColor="text1" w:themeTint="BF"/>
          <w:kern w:val="21"/>
          <w14:numSpacing w14:val="proportional"/>
        </w:rPr>
      </w:pPr>
      <w:r>
        <w:rPr>
          <w:color w:val="404040" w:themeColor="text1" w:themeTint="BF"/>
          <w:kern w:val="21"/>
          <w14:numSpacing w14:val="proportional"/>
        </w:rPr>
        <w:br w:type="page"/>
      </w:r>
    </w:p>
    <w:sdt>
      <w:sdtPr>
        <w:rPr>
          <w:rFonts w:ascii="Fira Sans" w:eastAsiaTheme="minorHAnsi" w:hAnsi="Fira Sans" w:cstheme="minorBidi"/>
          <w:color w:val="3A3E3E" w:themeColor="background2" w:themeShade="40"/>
          <w:kern w:val="0"/>
          <w:sz w:val="21"/>
          <w:szCs w:val="21"/>
          <w:lang w:val="en-US"/>
          <w14:numSpacing w14:val="default"/>
        </w:rPr>
        <w:id w:val="969250166"/>
        <w:docPartObj>
          <w:docPartGallery w:val="Table of Contents"/>
          <w:docPartUnique/>
        </w:docPartObj>
      </w:sdtPr>
      <w:sdtEndPr>
        <w:rPr>
          <w:b/>
          <w:bCs/>
          <w:noProof/>
        </w:rPr>
      </w:sdtEndPr>
      <w:sdtContent>
        <w:p w14:paraId="1C85A861" w14:textId="00A6DFC3" w:rsidR="00303C10" w:rsidRDefault="00303C10">
          <w:pPr>
            <w:pStyle w:val="TOCHeading"/>
          </w:pPr>
          <w:r>
            <w:t>Contents</w:t>
          </w:r>
        </w:p>
        <w:p w14:paraId="57DC047D" w14:textId="59784434" w:rsidR="007C2700" w:rsidRDefault="00303C10">
          <w:pPr>
            <w:pStyle w:val="TOC1"/>
            <w:rPr>
              <w:rFonts w:asciiTheme="minorHAnsi" w:hAnsiTheme="minorHAnsi"/>
              <w:bCs w:val="0"/>
              <w:color w:val="auto"/>
              <w:kern w:val="2"/>
              <w:sz w:val="22"/>
              <w:szCs w:val="22"/>
              <w:u w:val="none"/>
              <w14:ligatures w14:val="standardContextual"/>
            </w:rPr>
          </w:pPr>
          <w:r>
            <w:rPr>
              <w:bCs w:val="0"/>
              <w:noProof w:val="0"/>
            </w:rPr>
            <w:fldChar w:fldCharType="begin"/>
          </w:r>
          <w:r>
            <w:instrText xml:space="preserve"> TOC \o "1-3" \h \z \u </w:instrText>
          </w:r>
          <w:r>
            <w:rPr>
              <w:bCs w:val="0"/>
              <w:noProof w:val="0"/>
            </w:rPr>
            <w:fldChar w:fldCharType="separate"/>
          </w:r>
          <w:hyperlink w:anchor="_Toc168662785" w:history="1">
            <w:r w:rsidR="007C2700" w:rsidRPr="006B1D13">
              <w:rPr>
                <w:rStyle w:val="Hyperlink"/>
              </w:rPr>
              <w:t>Rule 1 – IHACPA Reporting</w:t>
            </w:r>
            <w:r w:rsidR="007C2700">
              <w:rPr>
                <w:webHidden/>
              </w:rPr>
              <w:tab/>
            </w:r>
            <w:r w:rsidR="007C2700">
              <w:rPr>
                <w:webHidden/>
              </w:rPr>
              <w:fldChar w:fldCharType="begin"/>
            </w:r>
            <w:r w:rsidR="007C2700">
              <w:rPr>
                <w:webHidden/>
              </w:rPr>
              <w:instrText xml:space="preserve"> PAGEREF _Toc168662785 \h </w:instrText>
            </w:r>
            <w:r w:rsidR="007C2700">
              <w:rPr>
                <w:webHidden/>
              </w:rPr>
            </w:r>
            <w:r w:rsidR="007C2700">
              <w:rPr>
                <w:webHidden/>
              </w:rPr>
              <w:fldChar w:fldCharType="separate"/>
            </w:r>
            <w:r w:rsidR="007C2700">
              <w:rPr>
                <w:webHidden/>
              </w:rPr>
              <w:t>4</w:t>
            </w:r>
            <w:r w:rsidR="007C2700">
              <w:rPr>
                <w:webHidden/>
              </w:rPr>
              <w:fldChar w:fldCharType="end"/>
            </w:r>
          </w:hyperlink>
        </w:p>
        <w:p w14:paraId="2EA505A7" w14:textId="4F2B7681" w:rsidR="007C2700" w:rsidRDefault="00EC2651">
          <w:pPr>
            <w:pStyle w:val="TOC1"/>
            <w:rPr>
              <w:rFonts w:asciiTheme="minorHAnsi" w:hAnsiTheme="minorHAnsi"/>
              <w:bCs w:val="0"/>
              <w:color w:val="auto"/>
              <w:kern w:val="2"/>
              <w:sz w:val="22"/>
              <w:szCs w:val="22"/>
              <w:u w:val="none"/>
              <w14:ligatures w14:val="standardContextual"/>
            </w:rPr>
          </w:pPr>
          <w:hyperlink w:anchor="_Toc168662786" w:history="1">
            <w:r w:rsidR="007C2700" w:rsidRPr="006B1D13">
              <w:rPr>
                <w:rStyle w:val="Hyperlink"/>
              </w:rPr>
              <w:t>Rule 2 – Single Service Provider Code</w:t>
            </w:r>
            <w:r w:rsidR="007C2700">
              <w:rPr>
                <w:webHidden/>
              </w:rPr>
              <w:tab/>
            </w:r>
            <w:r w:rsidR="007C2700">
              <w:rPr>
                <w:webHidden/>
              </w:rPr>
              <w:fldChar w:fldCharType="begin"/>
            </w:r>
            <w:r w:rsidR="007C2700">
              <w:rPr>
                <w:webHidden/>
              </w:rPr>
              <w:instrText xml:space="preserve"> PAGEREF _Toc168662786 \h </w:instrText>
            </w:r>
            <w:r w:rsidR="007C2700">
              <w:rPr>
                <w:webHidden/>
              </w:rPr>
            </w:r>
            <w:r w:rsidR="007C2700">
              <w:rPr>
                <w:webHidden/>
              </w:rPr>
              <w:fldChar w:fldCharType="separate"/>
            </w:r>
            <w:r w:rsidR="007C2700">
              <w:rPr>
                <w:webHidden/>
              </w:rPr>
              <w:t>8</w:t>
            </w:r>
            <w:r w:rsidR="007C2700">
              <w:rPr>
                <w:webHidden/>
              </w:rPr>
              <w:fldChar w:fldCharType="end"/>
            </w:r>
          </w:hyperlink>
        </w:p>
        <w:p w14:paraId="0BD6B422" w14:textId="2A497BA8" w:rsidR="007C2700" w:rsidRDefault="00EC2651">
          <w:pPr>
            <w:pStyle w:val="TOC1"/>
            <w:rPr>
              <w:rFonts w:asciiTheme="minorHAnsi" w:hAnsiTheme="minorHAnsi"/>
              <w:bCs w:val="0"/>
              <w:color w:val="auto"/>
              <w:kern w:val="2"/>
              <w:sz w:val="22"/>
              <w:szCs w:val="22"/>
              <w:u w:val="none"/>
              <w14:ligatures w14:val="standardContextual"/>
            </w:rPr>
          </w:pPr>
          <w:hyperlink w:anchor="_Toc168662787" w:history="1">
            <w:r w:rsidR="007C2700" w:rsidRPr="006B1D13">
              <w:rPr>
                <w:rStyle w:val="Hyperlink"/>
              </w:rPr>
              <w:t>Rule 3 – Admitted Patient Flag</w:t>
            </w:r>
            <w:r w:rsidR="007C2700">
              <w:rPr>
                <w:webHidden/>
              </w:rPr>
              <w:tab/>
            </w:r>
            <w:r w:rsidR="007C2700">
              <w:rPr>
                <w:webHidden/>
              </w:rPr>
              <w:fldChar w:fldCharType="begin"/>
            </w:r>
            <w:r w:rsidR="007C2700">
              <w:rPr>
                <w:webHidden/>
              </w:rPr>
              <w:instrText xml:space="preserve"> PAGEREF _Toc168662787 \h </w:instrText>
            </w:r>
            <w:r w:rsidR="007C2700">
              <w:rPr>
                <w:webHidden/>
              </w:rPr>
            </w:r>
            <w:r w:rsidR="007C2700">
              <w:rPr>
                <w:webHidden/>
              </w:rPr>
              <w:fldChar w:fldCharType="separate"/>
            </w:r>
            <w:r w:rsidR="007C2700">
              <w:rPr>
                <w:webHidden/>
              </w:rPr>
              <w:t>8</w:t>
            </w:r>
            <w:r w:rsidR="007C2700">
              <w:rPr>
                <w:webHidden/>
              </w:rPr>
              <w:fldChar w:fldCharType="end"/>
            </w:r>
          </w:hyperlink>
        </w:p>
        <w:p w14:paraId="46C9355F" w14:textId="51E9362D" w:rsidR="007C2700" w:rsidRDefault="00EC2651">
          <w:pPr>
            <w:pStyle w:val="TOC1"/>
            <w:rPr>
              <w:rFonts w:asciiTheme="minorHAnsi" w:hAnsiTheme="minorHAnsi"/>
              <w:bCs w:val="0"/>
              <w:color w:val="auto"/>
              <w:kern w:val="2"/>
              <w:sz w:val="22"/>
              <w:szCs w:val="22"/>
              <w:u w:val="none"/>
              <w14:ligatures w14:val="standardContextual"/>
            </w:rPr>
          </w:pPr>
          <w:hyperlink w:anchor="_Toc168662788" w:history="1">
            <w:r w:rsidR="007C2700" w:rsidRPr="006B1D13">
              <w:rPr>
                <w:rStyle w:val="Hyperlink"/>
              </w:rPr>
              <w:t>Rule 4 – Emergency Department Flag</w:t>
            </w:r>
            <w:r w:rsidR="007C2700">
              <w:rPr>
                <w:webHidden/>
              </w:rPr>
              <w:tab/>
            </w:r>
            <w:r w:rsidR="007C2700">
              <w:rPr>
                <w:webHidden/>
              </w:rPr>
              <w:fldChar w:fldCharType="begin"/>
            </w:r>
            <w:r w:rsidR="007C2700">
              <w:rPr>
                <w:webHidden/>
              </w:rPr>
              <w:instrText xml:space="preserve"> PAGEREF _Toc168662788 \h </w:instrText>
            </w:r>
            <w:r w:rsidR="007C2700">
              <w:rPr>
                <w:webHidden/>
              </w:rPr>
            </w:r>
            <w:r w:rsidR="007C2700">
              <w:rPr>
                <w:webHidden/>
              </w:rPr>
              <w:fldChar w:fldCharType="separate"/>
            </w:r>
            <w:r w:rsidR="007C2700">
              <w:rPr>
                <w:webHidden/>
              </w:rPr>
              <w:t>9</w:t>
            </w:r>
            <w:r w:rsidR="007C2700">
              <w:rPr>
                <w:webHidden/>
              </w:rPr>
              <w:fldChar w:fldCharType="end"/>
            </w:r>
          </w:hyperlink>
        </w:p>
        <w:p w14:paraId="3011601E" w14:textId="2F5D1EB1" w:rsidR="007C2700" w:rsidRDefault="00EC2651">
          <w:pPr>
            <w:pStyle w:val="TOC1"/>
            <w:rPr>
              <w:rFonts w:asciiTheme="minorHAnsi" w:hAnsiTheme="minorHAnsi"/>
              <w:bCs w:val="0"/>
              <w:color w:val="auto"/>
              <w:kern w:val="2"/>
              <w:sz w:val="22"/>
              <w:szCs w:val="22"/>
              <w:u w:val="none"/>
              <w14:ligatures w14:val="standardContextual"/>
            </w:rPr>
          </w:pPr>
          <w:hyperlink w:anchor="_Toc168662789" w:history="1">
            <w:r w:rsidR="007C2700" w:rsidRPr="006B1D13">
              <w:rPr>
                <w:rStyle w:val="Hyperlink"/>
              </w:rPr>
              <w:t>Rule 5 – AIHW/IHACPA Reporting</w:t>
            </w:r>
            <w:r w:rsidR="007C2700">
              <w:rPr>
                <w:webHidden/>
              </w:rPr>
              <w:tab/>
            </w:r>
            <w:r w:rsidR="007C2700">
              <w:rPr>
                <w:webHidden/>
              </w:rPr>
              <w:fldChar w:fldCharType="begin"/>
            </w:r>
            <w:r w:rsidR="007C2700">
              <w:rPr>
                <w:webHidden/>
              </w:rPr>
              <w:instrText xml:space="preserve"> PAGEREF _Toc168662789 \h </w:instrText>
            </w:r>
            <w:r w:rsidR="007C2700">
              <w:rPr>
                <w:webHidden/>
              </w:rPr>
            </w:r>
            <w:r w:rsidR="007C2700">
              <w:rPr>
                <w:webHidden/>
              </w:rPr>
              <w:fldChar w:fldCharType="separate"/>
            </w:r>
            <w:r w:rsidR="007C2700">
              <w:rPr>
                <w:webHidden/>
              </w:rPr>
              <w:t>10</w:t>
            </w:r>
            <w:r w:rsidR="007C2700">
              <w:rPr>
                <w:webHidden/>
              </w:rPr>
              <w:fldChar w:fldCharType="end"/>
            </w:r>
          </w:hyperlink>
        </w:p>
        <w:p w14:paraId="25A13A3D" w14:textId="6F50EC27" w:rsidR="007C2700" w:rsidRDefault="00EC2651">
          <w:pPr>
            <w:pStyle w:val="TOC1"/>
            <w:rPr>
              <w:rFonts w:asciiTheme="minorHAnsi" w:hAnsiTheme="minorHAnsi"/>
              <w:bCs w:val="0"/>
              <w:color w:val="auto"/>
              <w:kern w:val="2"/>
              <w:sz w:val="22"/>
              <w:szCs w:val="22"/>
              <w:u w:val="none"/>
              <w14:ligatures w14:val="standardContextual"/>
            </w:rPr>
          </w:pPr>
          <w:hyperlink w:anchor="_Toc168662790" w:history="1">
            <w:r w:rsidR="007C2700" w:rsidRPr="006B1D13">
              <w:rPr>
                <w:rStyle w:val="Hyperlink"/>
              </w:rPr>
              <w:t>Rule 6 – Derive Tier 2 Code from CCC</w:t>
            </w:r>
            <w:r w:rsidR="007C2700">
              <w:rPr>
                <w:webHidden/>
              </w:rPr>
              <w:tab/>
            </w:r>
            <w:r w:rsidR="007C2700">
              <w:rPr>
                <w:webHidden/>
              </w:rPr>
              <w:fldChar w:fldCharType="begin"/>
            </w:r>
            <w:r w:rsidR="007C2700">
              <w:rPr>
                <w:webHidden/>
              </w:rPr>
              <w:instrText xml:space="preserve"> PAGEREF _Toc168662790 \h </w:instrText>
            </w:r>
            <w:r w:rsidR="007C2700">
              <w:rPr>
                <w:webHidden/>
              </w:rPr>
            </w:r>
            <w:r w:rsidR="007C2700">
              <w:rPr>
                <w:webHidden/>
              </w:rPr>
              <w:fldChar w:fldCharType="separate"/>
            </w:r>
            <w:r w:rsidR="007C2700">
              <w:rPr>
                <w:webHidden/>
              </w:rPr>
              <w:t>12</w:t>
            </w:r>
            <w:r w:rsidR="007C2700">
              <w:rPr>
                <w:webHidden/>
              </w:rPr>
              <w:fldChar w:fldCharType="end"/>
            </w:r>
          </w:hyperlink>
        </w:p>
        <w:p w14:paraId="3543F9BF" w14:textId="51F58E5C" w:rsidR="007C2700" w:rsidRDefault="00EC2651">
          <w:pPr>
            <w:pStyle w:val="TOC1"/>
            <w:rPr>
              <w:rFonts w:asciiTheme="minorHAnsi" w:hAnsiTheme="minorHAnsi"/>
              <w:bCs w:val="0"/>
              <w:color w:val="auto"/>
              <w:kern w:val="2"/>
              <w:sz w:val="22"/>
              <w:szCs w:val="22"/>
              <w:u w:val="none"/>
              <w14:ligatures w14:val="standardContextual"/>
            </w:rPr>
          </w:pPr>
          <w:hyperlink w:anchor="_Toc168662791" w:history="1">
            <w:r w:rsidR="007C2700" w:rsidRPr="006B1D13">
              <w:rPr>
                <w:rStyle w:val="Hyperlink"/>
              </w:rPr>
              <w:t>Rule 7 – Derive IHACPA Tier 2 Code from ‘QH Tier 2’ - Telehealth</w:t>
            </w:r>
            <w:r w:rsidR="007C2700">
              <w:rPr>
                <w:webHidden/>
              </w:rPr>
              <w:tab/>
            </w:r>
            <w:r w:rsidR="007C2700">
              <w:rPr>
                <w:webHidden/>
              </w:rPr>
              <w:fldChar w:fldCharType="begin"/>
            </w:r>
            <w:r w:rsidR="007C2700">
              <w:rPr>
                <w:webHidden/>
              </w:rPr>
              <w:instrText xml:space="preserve"> PAGEREF _Toc168662791 \h </w:instrText>
            </w:r>
            <w:r w:rsidR="007C2700">
              <w:rPr>
                <w:webHidden/>
              </w:rPr>
            </w:r>
            <w:r w:rsidR="007C2700">
              <w:rPr>
                <w:webHidden/>
              </w:rPr>
              <w:fldChar w:fldCharType="separate"/>
            </w:r>
            <w:r w:rsidR="007C2700">
              <w:rPr>
                <w:webHidden/>
              </w:rPr>
              <w:t>13</w:t>
            </w:r>
            <w:r w:rsidR="007C2700">
              <w:rPr>
                <w:webHidden/>
              </w:rPr>
              <w:fldChar w:fldCharType="end"/>
            </w:r>
          </w:hyperlink>
        </w:p>
        <w:p w14:paraId="0BD0E816" w14:textId="199D2C9E" w:rsidR="007C2700" w:rsidRDefault="00EC2651">
          <w:pPr>
            <w:pStyle w:val="TOC1"/>
            <w:rPr>
              <w:rFonts w:asciiTheme="minorHAnsi" w:hAnsiTheme="minorHAnsi"/>
              <w:bCs w:val="0"/>
              <w:color w:val="auto"/>
              <w:kern w:val="2"/>
              <w:sz w:val="22"/>
              <w:szCs w:val="22"/>
              <w:u w:val="none"/>
              <w14:ligatures w14:val="standardContextual"/>
            </w:rPr>
          </w:pPr>
          <w:hyperlink w:anchor="_Toc168662792" w:history="1">
            <w:r w:rsidR="007C2700" w:rsidRPr="006B1D13">
              <w:rPr>
                <w:rStyle w:val="Hyperlink"/>
              </w:rPr>
              <w:t>Rule 8 – Reporting Home Delivered Procedures</w:t>
            </w:r>
            <w:r w:rsidR="007C2700">
              <w:rPr>
                <w:webHidden/>
              </w:rPr>
              <w:tab/>
            </w:r>
            <w:r w:rsidR="007C2700">
              <w:rPr>
                <w:webHidden/>
              </w:rPr>
              <w:fldChar w:fldCharType="begin"/>
            </w:r>
            <w:r w:rsidR="007C2700">
              <w:rPr>
                <w:webHidden/>
              </w:rPr>
              <w:instrText xml:space="preserve"> PAGEREF _Toc168662792 \h </w:instrText>
            </w:r>
            <w:r w:rsidR="007C2700">
              <w:rPr>
                <w:webHidden/>
              </w:rPr>
            </w:r>
            <w:r w:rsidR="007C2700">
              <w:rPr>
                <w:webHidden/>
              </w:rPr>
              <w:fldChar w:fldCharType="separate"/>
            </w:r>
            <w:r w:rsidR="007C2700">
              <w:rPr>
                <w:webHidden/>
              </w:rPr>
              <w:t>14</w:t>
            </w:r>
            <w:r w:rsidR="007C2700">
              <w:rPr>
                <w:webHidden/>
              </w:rPr>
              <w:fldChar w:fldCharType="end"/>
            </w:r>
          </w:hyperlink>
        </w:p>
        <w:p w14:paraId="68644358" w14:textId="74FD6784" w:rsidR="007C2700" w:rsidRDefault="00EC2651">
          <w:pPr>
            <w:pStyle w:val="TOC1"/>
            <w:rPr>
              <w:rFonts w:asciiTheme="minorHAnsi" w:hAnsiTheme="minorHAnsi"/>
              <w:bCs w:val="0"/>
              <w:color w:val="auto"/>
              <w:kern w:val="2"/>
              <w:sz w:val="22"/>
              <w:szCs w:val="22"/>
              <w:u w:val="none"/>
              <w14:ligatures w14:val="standardContextual"/>
            </w:rPr>
          </w:pPr>
          <w:hyperlink w:anchor="_Toc168662793" w:history="1">
            <w:r w:rsidR="007C2700" w:rsidRPr="006B1D13">
              <w:rPr>
                <w:rStyle w:val="Hyperlink"/>
              </w:rPr>
              <w:t>Rule 9 – Derive (primary) facility identifier</w:t>
            </w:r>
            <w:r w:rsidR="007C2700">
              <w:rPr>
                <w:webHidden/>
              </w:rPr>
              <w:tab/>
            </w:r>
            <w:r w:rsidR="007C2700">
              <w:rPr>
                <w:webHidden/>
              </w:rPr>
              <w:fldChar w:fldCharType="begin"/>
            </w:r>
            <w:r w:rsidR="007C2700">
              <w:rPr>
                <w:webHidden/>
              </w:rPr>
              <w:instrText xml:space="preserve"> PAGEREF _Toc168662793 \h </w:instrText>
            </w:r>
            <w:r w:rsidR="007C2700">
              <w:rPr>
                <w:webHidden/>
              </w:rPr>
            </w:r>
            <w:r w:rsidR="007C2700">
              <w:rPr>
                <w:webHidden/>
              </w:rPr>
              <w:fldChar w:fldCharType="separate"/>
            </w:r>
            <w:r w:rsidR="007C2700">
              <w:rPr>
                <w:webHidden/>
              </w:rPr>
              <w:t>15</w:t>
            </w:r>
            <w:r w:rsidR="007C2700">
              <w:rPr>
                <w:webHidden/>
              </w:rPr>
              <w:fldChar w:fldCharType="end"/>
            </w:r>
          </w:hyperlink>
        </w:p>
        <w:p w14:paraId="69787F60" w14:textId="18F4754E" w:rsidR="007C2700" w:rsidRDefault="00EC2651">
          <w:pPr>
            <w:pStyle w:val="TOC1"/>
            <w:rPr>
              <w:rFonts w:asciiTheme="minorHAnsi" w:hAnsiTheme="minorHAnsi"/>
              <w:bCs w:val="0"/>
              <w:color w:val="auto"/>
              <w:kern w:val="2"/>
              <w:sz w:val="22"/>
              <w:szCs w:val="22"/>
              <w:u w:val="none"/>
              <w14:ligatures w14:val="standardContextual"/>
            </w:rPr>
          </w:pPr>
          <w:hyperlink w:anchor="_Toc168662794" w:history="1">
            <w:r w:rsidR="007C2700" w:rsidRPr="006B1D13">
              <w:rPr>
                <w:rStyle w:val="Hyperlink"/>
              </w:rPr>
              <w:t>Rule 10 – Permissible corporate clinic codes for self-referral</w:t>
            </w:r>
            <w:r w:rsidR="007C2700">
              <w:rPr>
                <w:webHidden/>
              </w:rPr>
              <w:tab/>
            </w:r>
            <w:r w:rsidR="007C2700">
              <w:rPr>
                <w:webHidden/>
              </w:rPr>
              <w:fldChar w:fldCharType="begin"/>
            </w:r>
            <w:r w:rsidR="007C2700">
              <w:rPr>
                <w:webHidden/>
              </w:rPr>
              <w:instrText xml:space="preserve"> PAGEREF _Toc168662794 \h </w:instrText>
            </w:r>
            <w:r w:rsidR="007C2700">
              <w:rPr>
                <w:webHidden/>
              </w:rPr>
            </w:r>
            <w:r w:rsidR="007C2700">
              <w:rPr>
                <w:webHidden/>
              </w:rPr>
              <w:fldChar w:fldCharType="separate"/>
            </w:r>
            <w:r w:rsidR="007C2700">
              <w:rPr>
                <w:webHidden/>
              </w:rPr>
              <w:t>16</w:t>
            </w:r>
            <w:r w:rsidR="007C2700">
              <w:rPr>
                <w:webHidden/>
              </w:rPr>
              <w:fldChar w:fldCharType="end"/>
            </w:r>
          </w:hyperlink>
        </w:p>
        <w:p w14:paraId="4EBB821B" w14:textId="28A32616" w:rsidR="007C2700" w:rsidRDefault="00EC2651">
          <w:pPr>
            <w:pStyle w:val="TOC1"/>
            <w:rPr>
              <w:rFonts w:asciiTheme="minorHAnsi" w:hAnsiTheme="minorHAnsi"/>
              <w:bCs w:val="0"/>
              <w:color w:val="auto"/>
              <w:kern w:val="2"/>
              <w:sz w:val="22"/>
              <w:szCs w:val="22"/>
              <w:u w:val="none"/>
              <w14:ligatures w14:val="standardContextual"/>
            </w:rPr>
          </w:pPr>
          <w:hyperlink w:anchor="_Toc168662795" w:history="1">
            <w:r w:rsidR="007C2700" w:rsidRPr="006B1D13">
              <w:rPr>
                <w:rStyle w:val="Hyperlink"/>
              </w:rPr>
              <w:t>Rule 10a – Derive service request (referral) received date</w:t>
            </w:r>
            <w:r w:rsidR="007C2700">
              <w:rPr>
                <w:webHidden/>
              </w:rPr>
              <w:tab/>
            </w:r>
            <w:r w:rsidR="007C2700">
              <w:rPr>
                <w:webHidden/>
              </w:rPr>
              <w:fldChar w:fldCharType="begin"/>
            </w:r>
            <w:r w:rsidR="007C2700">
              <w:rPr>
                <w:webHidden/>
              </w:rPr>
              <w:instrText xml:space="preserve"> PAGEREF _Toc168662795 \h </w:instrText>
            </w:r>
            <w:r w:rsidR="007C2700">
              <w:rPr>
                <w:webHidden/>
              </w:rPr>
            </w:r>
            <w:r w:rsidR="007C2700">
              <w:rPr>
                <w:webHidden/>
              </w:rPr>
              <w:fldChar w:fldCharType="separate"/>
            </w:r>
            <w:r w:rsidR="007C2700">
              <w:rPr>
                <w:webHidden/>
              </w:rPr>
              <w:t>17</w:t>
            </w:r>
            <w:r w:rsidR="007C2700">
              <w:rPr>
                <w:webHidden/>
              </w:rPr>
              <w:fldChar w:fldCharType="end"/>
            </w:r>
          </w:hyperlink>
        </w:p>
        <w:p w14:paraId="0A7B25CC" w14:textId="4A07655C" w:rsidR="007C2700" w:rsidRDefault="00EC2651">
          <w:pPr>
            <w:pStyle w:val="TOC1"/>
            <w:rPr>
              <w:rFonts w:asciiTheme="minorHAnsi" w:hAnsiTheme="minorHAnsi"/>
              <w:bCs w:val="0"/>
              <w:color w:val="auto"/>
              <w:kern w:val="2"/>
              <w:sz w:val="22"/>
              <w:szCs w:val="22"/>
              <w:u w:val="none"/>
              <w14:ligatures w14:val="standardContextual"/>
            </w:rPr>
          </w:pPr>
          <w:hyperlink w:anchor="_Toc168662796" w:history="1">
            <w:r w:rsidR="007C2700" w:rsidRPr="006B1D13">
              <w:rPr>
                <w:rStyle w:val="Hyperlink"/>
              </w:rPr>
              <w:t>Rule 10b – Derive service request (referral) source</w:t>
            </w:r>
            <w:r w:rsidR="007C2700">
              <w:rPr>
                <w:webHidden/>
              </w:rPr>
              <w:tab/>
            </w:r>
            <w:r w:rsidR="007C2700">
              <w:rPr>
                <w:webHidden/>
              </w:rPr>
              <w:fldChar w:fldCharType="begin"/>
            </w:r>
            <w:r w:rsidR="007C2700">
              <w:rPr>
                <w:webHidden/>
              </w:rPr>
              <w:instrText xml:space="preserve"> PAGEREF _Toc168662796 \h </w:instrText>
            </w:r>
            <w:r w:rsidR="007C2700">
              <w:rPr>
                <w:webHidden/>
              </w:rPr>
            </w:r>
            <w:r w:rsidR="007C2700">
              <w:rPr>
                <w:webHidden/>
              </w:rPr>
              <w:fldChar w:fldCharType="separate"/>
            </w:r>
            <w:r w:rsidR="007C2700">
              <w:rPr>
                <w:webHidden/>
              </w:rPr>
              <w:t>18</w:t>
            </w:r>
            <w:r w:rsidR="007C2700">
              <w:rPr>
                <w:webHidden/>
              </w:rPr>
              <w:fldChar w:fldCharType="end"/>
            </w:r>
          </w:hyperlink>
        </w:p>
        <w:p w14:paraId="3165AA5F" w14:textId="447F91B0" w:rsidR="007C2700" w:rsidRDefault="00EC2651">
          <w:pPr>
            <w:pStyle w:val="TOC1"/>
            <w:rPr>
              <w:rFonts w:asciiTheme="minorHAnsi" w:hAnsiTheme="minorHAnsi"/>
              <w:bCs w:val="0"/>
              <w:color w:val="auto"/>
              <w:kern w:val="2"/>
              <w:sz w:val="22"/>
              <w:szCs w:val="22"/>
              <w:u w:val="none"/>
              <w14:ligatures w14:val="standardContextual"/>
            </w:rPr>
          </w:pPr>
          <w:hyperlink w:anchor="_Toc168662797" w:history="1">
            <w:r w:rsidR="007C2700" w:rsidRPr="006B1D13">
              <w:rPr>
                <w:rStyle w:val="Hyperlink"/>
              </w:rPr>
              <w:t>Rule 11a – Derive service request (referral) received date – telehealth recipient</w:t>
            </w:r>
            <w:r w:rsidR="007C2700">
              <w:rPr>
                <w:webHidden/>
              </w:rPr>
              <w:tab/>
            </w:r>
            <w:r w:rsidR="007C2700">
              <w:rPr>
                <w:webHidden/>
              </w:rPr>
              <w:fldChar w:fldCharType="begin"/>
            </w:r>
            <w:r w:rsidR="007C2700">
              <w:rPr>
                <w:webHidden/>
              </w:rPr>
              <w:instrText xml:space="preserve"> PAGEREF _Toc168662797 \h </w:instrText>
            </w:r>
            <w:r w:rsidR="007C2700">
              <w:rPr>
                <w:webHidden/>
              </w:rPr>
            </w:r>
            <w:r w:rsidR="007C2700">
              <w:rPr>
                <w:webHidden/>
              </w:rPr>
              <w:fldChar w:fldCharType="separate"/>
            </w:r>
            <w:r w:rsidR="007C2700">
              <w:rPr>
                <w:webHidden/>
              </w:rPr>
              <w:t>19</w:t>
            </w:r>
            <w:r w:rsidR="007C2700">
              <w:rPr>
                <w:webHidden/>
              </w:rPr>
              <w:fldChar w:fldCharType="end"/>
            </w:r>
          </w:hyperlink>
        </w:p>
        <w:p w14:paraId="2445DF3F" w14:textId="4BF9BF16" w:rsidR="007C2700" w:rsidRDefault="00EC2651">
          <w:pPr>
            <w:pStyle w:val="TOC1"/>
            <w:rPr>
              <w:rFonts w:asciiTheme="minorHAnsi" w:hAnsiTheme="minorHAnsi"/>
              <w:bCs w:val="0"/>
              <w:color w:val="auto"/>
              <w:kern w:val="2"/>
              <w:sz w:val="22"/>
              <w:szCs w:val="22"/>
              <w:u w:val="none"/>
              <w14:ligatures w14:val="standardContextual"/>
            </w:rPr>
          </w:pPr>
          <w:hyperlink w:anchor="_Toc168662798" w:history="1">
            <w:r w:rsidR="007C2700" w:rsidRPr="006B1D13">
              <w:rPr>
                <w:rStyle w:val="Hyperlink"/>
              </w:rPr>
              <w:t>Rule 11b – Derive service request (referral) source – telehealth recipient</w:t>
            </w:r>
            <w:r w:rsidR="007C2700">
              <w:rPr>
                <w:webHidden/>
              </w:rPr>
              <w:tab/>
            </w:r>
            <w:r w:rsidR="007C2700">
              <w:rPr>
                <w:webHidden/>
              </w:rPr>
              <w:fldChar w:fldCharType="begin"/>
            </w:r>
            <w:r w:rsidR="007C2700">
              <w:rPr>
                <w:webHidden/>
              </w:rPr>
              <w:instrText xml:space="preserve"> PAGEREF _Toc168662798 \h </w:instrText>
            </w:r>
            <w:r w:rsidR="007C2700">
              <w:rPr>
                <w:webHidden/>
              </w:rPr>
            </w:r>
            <w:r w:rsidR="007C2700">
              <w:rPr>
                <w:webHidden/>
              </w:rPr>
              <w:fldChar w:fldCharType="separate"/>
            </w:r>
            <w:r w:rsidR="007C2700">
              <w:rPr>
                <w:webHidden/>
              </w:rPr>
              <w:t>20</w:t>
            </w:r>
            <w:r w:rsidR="007C2700">
              <w:rPr>
                <w:webHidden/>
              </w:rPr>
              <w:fldChar w:fldCharType="end"/>
            </w:r>
          </w:hyperlink>
        </w:p>
        <w:p w14:paraId="27923A79" w14:textId="0426BACD" w:rsidR="007C2700" w:rsidRDefault="00EC2651">
          <w:pPr>
            <w:pStyle w:val="TOC1"/>
            <w:rPr>
              <w:rFonts w:asciiTheme="minorHAnsi" w:hAnsiTheme="minorHAnsi"/>
              <w:bCs w:val="0"/>
              <w:color w:val="auto"/>
              <w:kern w:val="2"/>
              <w:sz w:val="22"/>
              <w:szCs w:val="22"/>
              <w:u w:val="none"/>
              <w14:ligatures w14:val="standardContextual"/>
            </w:rPr>
          </w:pPr>
          <w:hyperlink w:anchor="_Toc168662799" w:history="1">
            <w:r w:rsidR="007C2700" w:rsidRPr="006B1D13">
              <w:rPr>
                <w:rStyle w:val="Hyperlink"/>
              </w:rPr>
              <w:t>Rule 12 – Derive IHACPA Tier 2 Code from ‘QH Tier 2’ code for MDCC activity – patient not present</w:t>
            </w:r>
            <w:r w:rsidR="007C2700">
              <w:rPr>
                <w:webHidden/>
              </w:rPr>
              <w:tab/>
            </w:r>
            <w:r w:rsidR="007C2700">
              <w:rPr>
                <w:webHidden/>
              </w:rPr>
              <w:fldChar w:fldCharType="begin"/>
            </w:r>
            <w:r w:rsidR="007C2700">
              <w:rPr>
                <w:webHidden/>
              </w:rPr>
              <w:instrText xml:space="preserve"> PAGEREF _Toc168662799 \h </w:instrText>
            </w:r>
            <w:r w:rsidR="007C2700">
              <w:rPr>
                <w:webHidden/>
              </w:rPr>
            </w:r>
            <w:r w:rsidR="007C2700">
              <w:rPr>
                <w:webHidden/>
              </w:rPr>
              <w:fldChar w:fldCharType="separate"/>
            </w:r>
            <w:r w:rsidR="007C2700">
              <w:rPr>
                <w:webHidden/>
              </w:rPr>
              <w:t>21</w:t>
            </w:r>
            <w:r w:rsidR="007C2700">
              <w:rPr>
                <w:webHidden/>
              </w:rPr>
              <w:fldChar w:fldCharType="end"/>
            </w:r>
          </w:hyperlink>
        </w:p>
        <w:p w14:paraId="2FD9EB7B" w14:textId="6FAB770F" w:rsidR="007C2700" w:rsidRDefault="00EC2651">
          <w:pPr>
            <w:pStyle w:val="TOC1"/>
            <w:rPr>
              <w:rFonts w:asciiTheme="minorHAnsi" w:hAnsiTheme="minorHAnsi"/>
              <w:bCs w:val="0"/>
              <w:color w:val="auto"/>
              <w:kern w:val="2"/>
              <w:sz w:val="22"/>
              <w:szCs w:val="22"/>
              <w:u w:val="none"/>
              <w14:ligatures w14:val="standardContextual"/>
            </w:rPr>
          </w:pPr>
          <w:hyperlink w:anchor="_Toc168662800" w:history="1">
            <w:r w:rsidR="007C2700" w:rsidRPr="006B1D13">
              <w:rPr>
                <w:rStyle w:val="Hyperlink"/>
              </w:rPr>
              <w:t>Rule 13 – Derive First Service Event Indicator</w:t>
            </w:r>
            <w:r w:rsidR="007C2700">
              <w:rPr>
                <w:webHidden/>
              </w:rPr>
              <w:tab/>
            </w:r>
            <w:r w:rsidR="007C2700">
              <w:rPr>
                <w:webHidden/>
              </w:rPr>
              <w:fldChar w:fldCharType="begin"/>
            </w:r>
            <w:r w:rsidR="007C2700">
              <w:rPr>
                <w:webHidden/>
              </w:rPr>
              <w:instrText xml:space="preserve"> PAGEREF _Toc168662800 \h </w:instrText>
            </w:r>
            <w:r w:rsidR="007C2700">
              <w:rPr>
                <w:webHidden/>
              </w:rPr>
            </w:r>
            <w:r w:rsidR="007C2700">
              <w:rPr>
                <w:webHidden/>
              </w:rPr>
              <w:fldChar w:fldCharType="separate"/>
            </w:r>
            <w:r w:rsidR="007C2700">
              <w:rPr>
                <w:webHidden/>
              </w:rPr>
              <w:t>22</w:t>
            </w:r>
            <w:r w:rsidR="007C2700">
              <w:rPr>
                <w:webHidden/>
              </w:rPr>
              <w:fldChar w:fldCharType="end"/>
            </w:r>
          </w:hyperlink>
        </w:p>
        <w:p w14:paraId="562B9803" w14:textId="69A9BCC3" w:rsidR="007C2700" w:rsidRDefault="00EC2651">
          <w:pPr>
            <w:pStyle w:val="TOC1"/>
            <w:rPr>
              <w:rFonts w:asciiTheme="minorHAnsi" w:hAnsiTheme="minorHAnsi"/>
              <w:bCs w:val="0"/>
              <w:color w:val="auto"/>
              <w:kern w:val="2"/>
              <w:sz w:val="22"/>
              <w:szCs w:val="22"/>
              <w:u w:val="none"/>
              <w14:ligatures w14:val="standardContextual"/>
            </w:rPr>
          </w:pPr>
          <w:hyperlink w:anchor="_Toc168662801" w:history="1">
            <w:r w:rsidR="007C2700" w:rsidRPr="006B1D13">
              <w:rPr>
                <w:rStyle w:val="Hyperlink"/>
              </w:rPr>
              <w:t>Rule 14 – Derive Multiple Health Care Provider Indicator – National Reporting</w:t>
            </w:r>
            <w:r w:rsidR="007C2700">
              <w:rPr>
                <w:webHidden/>
              </w:rPr>
              <w:tab/>
            </w:r>
            <w:r w:rsidR="007C2700">
              <w:rPr>
                <w:webHidden/>
              </w:rPr>
              <w:fldChar w:fldCharType="begin"/>
            </w:r>
            <w:r w:rsidR="007C2700">
              <w:rPr>
                <w:webHidden/>
              </w:rPr>
              <w:instrText xml:space="preserve"> PAGEREF _Toc168662801 \h </w:instrText>
            </w:r>
            <w:r w:rsidR="007C2700">
              <w:rPr>
                <w:webHidden/>
              </w:rPr>
            </w:r>
            <w:r w:rsidR="007C2700">
              <w:rPr>
                <w:webHidden/>
              </w:rPr>
              <w:fldChar w:fldCharType="separate"/>
            </w:r>
            <w:r w:rsidR="007C2700">
              <w:rPr>
                <w:webHidden/>
              </w:rPr>
              <w:t>23</w:t>
            </w:r>
            <w:r w:rsidR="007C2700">
              <w:rPr>
                <w:webHidden/>
              </w:rPr>
              <w:fldChar w:fldCharType="end"/>
            </w:r>
          </w:hyperlink>
        </w:p>
        <w:p w14:paraId="4E995B7E" w14:textId="61738C1F" w:rsidR="00303C10" w:rsidRDefault="00303C10">
          <w:r>
            <w:rPr>
              <w:b/>
              <w:bCs/>
              <w:noProof/>
            </w:rPr>
            <w:fldChar w:fldCharType="end"/>
          </w:r>
        </w:p>
      </w:sdtContent>
    </w:sdt>
    <w:p w14:paraId="374F6033" w14:textId="77777777" w:rsidR="00303C10" w:rsidRDefault="00303C10" w:rsidP="00303C10">
      <w:pPr>
        <w:spacing w:before="120" w:after="120"/>
        <w:textboxTightWrap w:val="allLines"/>
        <w:sectPr w:rsidR="00303C10" w:rsidSect="009827A3">
          <w:headerReference w:type="default" r:id="rId16"/>
          <w:footerReference w:type="default" r:id="rId17"/>
          <w:footerReference w:type="first" r:id="rId18"/>
          <w:type w:val="continuous"/>
          <w:pgSz w:w="11906" w:h="16838" w:code="9"/>
          <w:pgMar w:top="1531" w:right="1531" w:bottom="1531" w:left="1531" w:header="709" w:footer="709" w:gutter="0"/>
          <w:cols w:space="708"/>
          <w:docGrid w:linePitch="360"/>
        </w:sectPr>
      </w:pPr>
    </w:p>
    <w:p w14:paraId="4F92BA50" w14:textId="32D6A909" w:rsidR="00F66FED" w:rsidRDefault="00303C10" w:rsidP="00303C10">
      <w:pPr>
        <w:pStyle w:val="Heading1"/>
      </w:pPr>
      <w:bookmarkStart w:id="0" w:name="_Toc168662785"/>
      <w:r>
        <w:lastRenderedPageBreak/>
        <w:t>Rule 1 – IHACPA Reporting</w:t>
      </w:r>
      <w:bookmarkEnd w:id="0"/>
    </w:p>
    <w:tbl>
      <w:tblPr>
        <w:tblW w:w="137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708"/>
        <w:gridCol w:w="2268"/>
        <w:gridCol w:w="3686"/>
        <w:gridCol w:w="2551"/>
        <w:gridCol w:w="2977"/>
        <w:gridCol w:w="11"/>
      </w:tblGrid>
      <w:tr w:rsidR="007976F1" w:rsidRPr="00303C10" w14:paraId="35F3EA1D" w14:textId="77777777" w:rsidTr="007C2700">
        <w:trPr>
          <w:trHeight w:val="540"/>
        </w:trPr>
        <w:tc>
          <w:tcPr>
            <w:tcW w:w="1545" w:type="dxa"/>
            <w:shd w:val="clear" w:color="auto" w:fill="001D47"/>
            <w:vAlign w:val="center"/>
            <w:hideMark/>
          </w:tcPr>
          <w:p w14:paraId="073E7C0A" w14:textId="77777777" w:rsidR="007976F1" w:rsidRPr="00303C10" w:rsidRDefault="007976F1" w:rsidP="007976F1">
            <w:pPr>
              <w:pStyle w:val="BodyText"/>
              <w:rPr>
                <w:b/>
                <w:bCs/>
                <w:color w:val="FFFFFF" w:themeColor="background1"/>
                <w:sz w:val="32"/>
                <w:szCs w:val="32"/>
              </w:rPr>
            </w:pPr>
            <w:r w:rsidRPr="00303C10">
              <w:rPr>
                <w:b/>
                <w:bCs/>
                <w:color w:val="FFFFFF" w:themeColor="background1"/>
                <w:sz w:val="32"/>
                <w:szCs w:val="32"/>
              </w:rPr>
              <w:t>Rule No.</w:t>
            </w:r>
          </w:p>
        </w:tc>
        <w:tc>
          <w:tcPr>
            <w:tcW w:w="708" w:type="dxa"/>
            <w:shd w:val="clear" w:color="auto" w:fill="B8E5FC"/>
            <w:vAlign w:val="center"/>
            <w:hideMark/>
          </w:tcPr>
          <w:p w14:paraId="03294389" w14:textId="77777777" w:rsidR="007976F1" w:rsidRPr="00303C10" w:rsidRDefault="007976F1" w:rsidP="007976F1">
            <w:pPr>
              <w:pStyle w:val="BodyText"/>
              <w:rPr>
                <w:b/>
                <w:bCs/>
                <w:sz w:val="32"/>
                <w:szCs w:val="32"/>
              </w:rPr>
            </w:pPr>
            <w:r w:rsidRPr="00303C10">
              <w:rPr>
                <w:b/>
                <w:bCs/>
                <w:sz w:val="32"/>
                <w:szCs w:val="32"/>
              </w:rPr>
              <w:t>1</w:t>
            </w:r>
          </w:p>
        </w:tc>
        <w:tc>
          <w:tcPr>
            <w:tcW w:w="2268" w:type="dxa"/>
            <w:shd w:val="clear" w:color="auto" w:fill="001D47"/>
            <w:vAlign w:val="center"/>
            <w:hideMark/>
          </w:tcPr>
          <w:p w14:paraId="61107F36" w14:textId="0C68EF28" w:rsidR="007976F1" w:rsidRPr="00303C10" w:rsidRDefault="007976F1" w:rsidP="007976F1">
            <w:pPr>
              <w:pStyle w:val="BodyText"/>
              <w:rPr>
                <w:b/>
                <w:bCs/>
                <w:sz w:val="32"/>
                <w:szCs w:val="32"/>
              </w:rPr>
            </w:pPr>
            <w:r>
              <w:rPr>
                <w:b/>
                <w:bCs/>
                <w:color w:val="FFFFFF" w:themeColor="background1"/>
                <w:sz w:val="32"/>
                <w:szCs w:val="32"/>
              </w:rPr>
              <w:t>Business Rule</w:t>
            </w:r>
          </w:p>
        </w:tc>
        <w:tc>
          <w:tcPr>
            <w:tcW w:w="9225" w:type="dxa"/>
            <w:gridSpan w:val="4"/>
            <w:shd w:val="clear" w:color="auto" w:fill="B8E5FC"/>
            <w:vAlign w:val="center"/>
            <w:hideMark/>
          </w:tcPr>
          <w:p w14:paraId="50ED2D69" w14:textId="30AB8263" w:rsidR="007976F1" w:rsidRPr="00303C10" w:rsidRDefault="007976F1" w:rsidP="007976F1">
            <w:pPr>
              <w:pStyle w:val="BodyText"/>
              <w:rPr>
                <w:b/>
                <w:bCs/>
                <w:sz w:val="32"/>
                <w:szCs w:val="32"/>
              </w:rPr>
            </w:pPr>
            <w:r w:rsidRPr="00303C10">
              <w:rPr>
                <w:bCs/>
              </w:rPr>
              <w:t xml:space="preserve">IHACPA service event bundling for all service events by </w:t>
            </w:r>
            <w:hyperlink r:id="rId19" w:history="1">
              <w:r w:rsidRPr="00303C10">
                <w:rPr>
                  <w:rStyle w:val="Hyperlink"/>
                  <w:bCs/>
                </w:rPr>
                <w:t>funding source</w:t>
              </w:r>
            </w:hyperlink>
            <w:r w:rsidRPr="00303C10">
              <w:rPr>
                <w:bCs/>
              </w:rPr>
              <w:t xml:space="preserve"> and IHACPA Reporting Prioritisation Criteria.</w:t>
            </w:r>
          </w:p>
        </w:tc>
      </w:tr>
      <w:tr w:rsidR="007976F1" w:rsidRPr="00303C10" w14:paraId="41D0B258" w14:textId="77777777" w:rsidTr="007C2700">
        <w:trPr>
          <w:trHeight w:val="396"/>
        </w:trPr>
        <w:tc>
          <w:tcPr>
            <w:tcW w:w="1545" w:type="dxa"/>
            <w:shd w:val="clear" w:color="auto" w:fill="94DCEF"/>
            <w:vAlign w:val="center"/>
          </w:tcPr>
          <w:p w14:paraId="204B1F73" w14:textId="77777777" w:rsidR="007976F1" w:rsidRPr="00303C10" w:rsidRDefault="007976F1" w:rsidP="007976F1">
            <w:pPr>
              <w:pStyle w:val="BodyText"/>
              <w:rPr>
                <w:b/>
                <w:bCs/>
              </w:rPr>
            </w:pPr>
            <w:r w:rsidRPr="00303C10">
              <w:rPr>
                <w:b/>
                <w:bCs/>
              </w:rPr>
              <w:t>Business Process</w:t>
            </w:r>
          </w:p>
        </w:tc>
        <w:tc>
          <w:tcPr>
            <w:tcW w:w="12201" w:type="dxa"/>
            <w:gridSpan w:val="6"/>
            <w:shd w:val="clear" w:color="auto" w:fill="auto"/>
            <w:vAlign w:val="center"/>
          </w:tcPr>
          <w:p w14:paraId="7D024761" w14:textId="585D4D22" w:rsidR="007976F1" w:rsidRDefault="007976F1" w:rsidP="007976F1">
            <w:pPr>
              <w:pStyle w:val="BodyText"/>
              <w:spacing w:before="0" w:after="0" w:line="240" w:lineRule="auto"/>
            </w:pPr>
            <w:r w:rsidRPr="00303C10">
              <w:t>Only one non-admitted patient service event can be reported to the IHACPA, for the same patient, for the same Tier 2 clinic class on a given calendar day, regardless of the principal funding source.</w:t>
            </w:r>
          </w:p>
          <w:p w14:paraId="0E64F1F0" w14:textId="77777777" w:rsidR="007976F1" w:rsidRPr="00303C10" w:rsidRDefault="007976F1" w:rsidP="007976F1">
            <w:pPr>
              <w:pStyle w:val="BodyText"/>
              <w:spacing w:before="0" w:after="0" w:line="240" w:lineRule="auto"/>
            </w:pPr>
          </w:p>
          <w:p w14:paraId="58B7A413" w14:textId="77777777" w:rsidR="007976F1" w:rsidRPr="00303C10" w:rsidRDefault="007976F1" w:rsidP="007976F1">
            <w:pPr>
              <w:pStyle w:val="BodyText"/>
              <w:spacing w:before="0" w:after="0" w:line="240" w:lineRule="auto"/>
              <w:rPr>
                <w:b/>
                <w:bCs/>
                <w:color w:val="009247" w:themeColor="accent6"/>
              </w:rPr>
            </w:pPr>
            <w:r w:rsidRPr="00303C10">
              <w:rPr>
                <w:b/>
                <w:bCs/>
                <w:color w:val="009247" w:themeColor="accent6"/>
              </w:rPr>
              <w:t>Inclusions:</w:t>
            </w:r>
          </w:p>
          <w:p w14:paraId="181E580D" w14:textId="77777777" w:rsidR="007976F1" w:rsidRPr="00303C10" w:rsidRDefault="007976F1" w:rsidP="007976F1">
            <w:pPr>
              <w:pStyle w:val="BodyText"/>
              <w:numPr>
                <w:ilvl w:val="0"/>
                <w:numId w:val="8"/>
              </w:numPr>
              <w:spacing w:before="0" w:after="0" w:line="240" w:lineRule="auto"/>
              <w:ind w:left="357" w:hanging="357"/>
            </w:pPr>
            <w:r w:rsidRPr="00303C10">
              <w:t>Multi-Disciplinary Case Conferences (MDCCs).</w:t>
            </w:r>
          </w:p>
          <w:p w14:paraId="5F24BAD2" w14:textId="77777777" w:rsidR="007976F1" w:rsidRPr="00303C10" w:rsidRDefault="007976F1" w:rsidP="007976F1">
            <w:pPr>
              <w:pStyle w:val="BodyText"/>
              <w:numPr>
                <w:ilvl w:val="0"/>
                <w:numId w:val="8"/>
              </w:numPr>
              <w:spacing w:before="0" w:after="0" w:line="240" w:lineRule="auto"/>
              <w:ind w:left="357" w:hanging="357"/>
            </w:pPr>
            <w:r w:rsidRPr="00303C10">
              <w:t>Service events for public patients with a funding source of ‘14’ – Medicare Benefits Scheme, including those to which a Commonwealth exemption applies.</w:t>
            </w:r>
          </w:p>
          <w:p w14:paraId="58049D81" w14:textId="77777777" w:rsidR="007976F1" w:rsidRDefault="007976F1" w:rsidP="007976F1">
            <w:pPr>
              <w:pStyle w:val="BodyText"/>
              <w:spacing w:before="0" w:after="0" w:line="240" w:lineRule="auto"/>
              <w:rPr>
                <w:b/>
                <w:bCs/>
                <w:color w:val="FF0000"/>
              </w:rPr>
            </w:pPr>
          </w:p>
          <w:p w14:paraId="267F6C27" w14:textId="51A23CD5" w:rsidR="007976F1" w:rsidRPr="00303C10" w:rsidRDefault="007976F1" w:rsidP="007976F1">
            <w:pPr>
              <w:pStyle w:val="BodyText"/>
              <w:spacing w:before="0" w:after="0" w:line="240" w:lineRule="auto"/>
              <w:rPr>
                <w:b/>
                <w:bCs/>
                <w:color w:val="FF0000"/>
              </w:rPr>
            </w:pPr>
            <w:r w:rsidRPr="00303C10">
              <w:rPr>
                <w:b/>
                <w:bCs/>
                <w:color w:val="FF0000"/>
              </w:rPr>
              <w:t>Exclusions:</w:t>
            </w:r>
          </w:p>
          <w:p w14:paraId="0164D80F" w14:textId="28B44556" w:rsidR="007976F1" w:rsidRPr="00303C10" w:rsidRDefault="007976F1" w:rsidP="007976F1">
            <w:pPr>
              <w:pStyle w:val="BodyText"/>
              <w:numPr>
                <w:ilvl w:val="0"/>
                <w:numId w:val="9"/>
              </w:numPr>
              <w:spacing w:before="0" w:after="0" w:line="240" w:lineRule="auto"/>
              <w:rPr>
                <w:u w:val="single"/>
              </w:rPr>
            </w:pPr>
            <w:r w:rsidRPr="00303C10">
              <w:t xml:space="preserve">Service events matched through the QHAPDC and ED activity matching process with respective flags set to ‘Yes’ (see Business Rules </w:t>
            </w:r>
            <w:hyperlink w:anchor="_Rule_3_–" w:history="1">
              <w:r w:rsidRPr="00303C10">
                <w:rPr>
                  <w:rStyle w:val="Hyperlink"/>
                </w:rPr>
                <w:t>3</w:t>
              </w:r>
            </w:hyperlink>
            <w:r w:rsidRPr="00303C10">
              <w:t xml:space="preserve"> and </w:t>
            </w:r>
            <w:hyperlink w:anchor="_Rule_4_–" w:history="1">
              <w:r w:rsidRPr="00303C10">
                <w:rPr>
                  <w:rStyle w:val="Hyperlink"/>
                </w:rPr>
                <w:t>4</w:t>
              </w:r>
            </w:hyperlink>
            <w:r w:rsidRPr="00303C10">
              <w:t>).</w:t>
            </w:r>
          </w:p>
          <w:p w14:paraId="14C15A4B" w14:textId="77777777" w:rsidR="007976F1" w:rsidRPr="00303C10" w:rsidRDefault="007976F1" w:rsidP="007976F1">
            <w:pPr>
              <w:pStyle w:val="BodyText"/>
              <w:numPr>
                <w:ilvl w:val="0"/>
                <w:numId w:val="9"/>
              </w:numPr>
              <w:spacing w:before="0" w:after="0" w:line="240" w:lineRule="auto"/>
              <w:rPr>
                <w:u w:val="single"/>
              </w:rPr>
            </w:pPr>
            <w:r w:rsidRPr="00303C10">
              <w:t>Service events with a missing or invalid funding source.</w:t>
            </w:r>
          </w:p>
          <w:p w14:paraId="58B1B47B" w14:textId="77777777" w:rsidR="007976F1" w:rsidRPr="00303C10" w:rsidRDefault="007976F1" w:rsidP="007976F1">
            <w:pPr>
              <w:pStyle w:val="BodyText"/>
              <w:numPr>
                <w:ilvl w:val="0"/>
                <w:numId w:val="9"/>
              </w:numPr>
              <w:spacing w:before="0" w:after="0" w:line="240" w:lineRule="auto"/>
            </w:pPr>
            <w:r w:rsidRPr="00303C10">
              <w:t>Records with a service delivery mode equal to ‘10’ - Patient self-administered - diagnostic monitoring (telemonitoring).</w:t>
            </w:r>
          </w:p>
          <w:p w14:paraId="3465B1BB" w14:textId="77777777" w:rsidR="007976F1" w:rsidRPr="00303C10" w:rsidRDefault="007976F1" w:rsidP="007976F1">
            <w:pPr>
              <w:pStyle w:val="BodyText"/>
              <w:numPr>
                <w:ilvl w:val="0"/>
                <w:numId w:val="9"/>
              </w:numPr>
              <w:spacing w:before="0" w:after="0" w:line="240" w:lineRule="auto"/>
            </w:pPr>
            <w:r w:rsidRPr="00303C10">
              <w:t>Service events with a ‘70’ series QH Tier 2 code.</w:t>
            </w:r>
          </w:p>
          <w:p w14:paraId="3C602967" w14:textId="77777777" w:rsidR="007976F1" w:rsidRPr="00303C10" w:rsidRDefault="007976F1" w:rsidP="007976F1">
            <w:pPr>
              <w:pStyle w:val="BodyText"/>
              <w:numPr>
                <w:ilvl w:val="0"/>
                <w:numId w:val="9"/>
              </w:numPr>
              <w:spacing w:before="0" w:after="0" w:line="240" w:lineRule="auto"/>
            </w:pPr>
            <w:r w:rsidRPr="00303C10">
              <w:t>Records received with a non-admitted patient service event where the model of care code is set to ‘01’ – Rapid access with the Patient not present indicator of ‘01’ – Yes.</w:t>
            </w:r>
          </w:p>
          <w:p w14:paraId="50211F6C" w14:textId="77777777" w:rsidR="007976F1" w:rsidRPr="00303C10" w:rsidRDefault="007976F1" w:rsidP="007976F1">
            <w:pPr>
              <w:pStyle w:val="BodyText"/>
              <w:numPr>
                <w:ilvl w:val="0"/>
                <w:numId w:val="9"/>
              </w:numPr>
              <w:spacing w:before="0" w:after="0" w:line="240" w:lineRule="auto"/>
            </w:pPr>
            <w:r w:rsidRPr="00303C10">
              <w:t>eConsult records reported for the Telehealth Support Unit.</w:t>
            </w:r>
          </w:p>
          <w:p w14:paraId="6684BFE9" w14:textId="77777777" w:rsidR="007976F1" w:rsidRDefault="007976F1" w:rsidP="007976F1">
            <w:pPr>
              <w:pStyle w:val="BodyText"/>
              <w:numPr>
                <w:ilvl w:val="0"/>
                <w:numId w:val="9"/>
              </w:numPr>
              <w:spacing w:before="0" w:after="0" w:line="240" w:lineRule="auto"/>
            </w:pPr>
            <w:r w:rsidRPr="00303C10">
              <w:t>Emergency Telehealth records reported for the Telehealth Support Unit.</w:t>
            </w:r>
          </w:p>
          <w:p w14:paraId="21BF4542" w14:textId="441B4DCE" w:rsidR="007976F1" w:rsidRPr="00303C10" w:rsidRDefault="007976F1" w:rsidP="007976F1">
            <w:pPr>
              <w:pStyle w:val="BodyText"/>
              <w:spacing w:before="0" w:after="0" w:line="240" w:lineRule="auto"/>
            </w:pPr>
          </w:p>
        </w:tc>
      </w:tr>
      <w:tr w:rsidR="007976F1" w:rsidRPr="00303C10" w14:paraId="2CBFCC24" w14:textId="77777777" w:rsidTr="007C2700">
        <w:trPr>
          <w:trHeight w:val="315"/>
        </w:trPr>
        <w:tc>
          <w:tcPr>
            <w:tcW w:w="1545" w:type="dxa"/>
            <w:shd w:val="clear" w:color="auto" w:fill="94DCEF"/>
            <w:vAlign w:val="center"/>
            <w:hideMark/>
          </w:tcPr>
          <w:p w14:paraId="7E56AABD" w14:textId="77777777" w:rsidR="007976F1" w:rsidRPr="00303C10" w:rsidRDefault="007976F1" w:rsidP="007976F1">
            <w:pPr>
              <w:pStyle w:val="BodyText"/>
              <w:rPr>
                <w:b/>
                <w:bCs/>
              </w:rPr>
            </w:pPr>
            <w:r w:rsidRPr="00303C10">
              <w:rPr>
                <w:b/>
                <w:bCs/>
              </w:rPr>
              <w:t>File Format Item #</w:t>
            </w:r>
          </w:p>
        </w:tc>
        <w:tc>
          <w:tcPr>
            <w:tcW w:w="708" w:type="dxa"/>
            <w:shd w:val="clear" w:color="auto" w:fill="B8E5FC"/>
            <w:vAlign w:val="center"/>
            <w:hideMark/>
          </w:tcPr>
          <w:p w14:paraId="5DE10D85" w14:textId="77777777" w:rsidR="007976F1" w:rsidRPr="00303C10" w:rsidRDefault="007976F1" w:rsidP="007976F1">
            <w:pPr>
              <w:pStyle w:val="BodyText"/>
              <w:rPr>
                <w:bCs/>
              </w:rPr>
            </w:pPr>
            <w:r w:rsidRPr="00303C10">
              <w:rPr>
                <w:bCs/>
              </w:rPr>
              <w:t>30</w:t>
            </w:r>
          </w:p>
        </w:tc>
        <w:tc>
          <w:tcPr>
            <w:tcW w:w="2268" w:type="dxa"/>
            <w:shd w:val="clear" w:color="auto" w:fill="94DCEF"/>
            <w:vAlign w:val="center"/>
            <w:hideMark/>
          </w:tcPr>
          <w:p w14:paraId="1DD080B5" w14:textId="77777777" w:rsidR="007976F1" w:rsidRPr="00303C10" w:rsidRDefault="007976F1" w:rsidP="007976F1">
            <w:pPr>
              <w:pStyle w:val="BodyText"/>
              <w:rPr>
                <w:b/>
                <w:bCs/>
              </w:rPr>
            </w:pPr>
            <w:r w:rsidRPr="00303C10">
              <w:rPr>
                <w:b/>
                <w:bCs/>
              </w:rPr>
              <w:t>File Format Data Item</w:t>
            </w:r>
          </w:p>
        </w:tc>
        <w:tc>
          <w:tcPr>
            <w:tcW w:w="3686" w:type="dxa"/>
            <w:shd w:val="clear" w:color="auto" w:fill="B8E5FC"/>
            <w:vAlign w:val="center"/>
            <w:hideMark/>
          </w:tcPr>
          <w:p w14:paraId="62E66DFA" w14:textId="77777777" w:rsidR="007976F1" w:rsidRPr="00303C10" w:rsidRDefault="00EC2651" w:rsidP="007976F1">
            <w:pPr>
              <w:pStyle w:val="BodyText"/>
              <w:rPr>
                <w:bCs/>
                <w:u w:val="single"/>
              </w:rPr>
            </w:pPr>
            <w:hyperlink r:id="rId20" w:history="1">
              <w:r w:rsidR="007976F1" w:rsidRPr="00303C10">
                <w:rPr>
                  <w:rStyle w:val="Hyperlink"/>
                  <w:bCs/>
                </w:rPr>
                <w:t>Funding Source</w:t>
              </w:r>
            </w:hyperlink>
          </w:p>
        </w:tc>
        <w:tc>
          <w:tcPr>
            <w:tcW w:w="2551" w:type="dxa"/>
            <w:shd w:val="clear" w:color="auto" w:fill="94DCEF"/>
            <w:vAlign w:val="center"/>
          </w:tcPr>
          <w:p w14:paraId="3D1601F0" w14:textId="77777777" w:rsidR="007976F1" w:rsidRPr="00303C10" w:rsidRDefault="007976F1" w:rsidP="007976F1">
            <w:pPr>
              <w:pStyle w:val="BodyText"/>
              <w:rPr>
                <w:bCs/>
                <w:u w:val="single"/>
              </w:rPr>
            </w:pPr>
            <w:r w:rsidRPr="00303C10">
              <w:rPr>
                <w:b/>
                <w:bCs/>
              </w:rPr>
              <w:t>Relevant Values in Data Domain</w:t>
            </w:r>
          </w:p>
        </w:tc>
        <w:tc>
          <w:tcPr>
            <w:tcW w:w="2988" w:type="dxa"/>
            <w:gridSpan w:val="2"/>
            <w:shd w:val="clear" w:color="auto" w:fill="auto"/>
            <w:vAlign w:val="center"/>
          </w:tcPr>
          <w:p w14:paraId="1055202B" w14:textId="77777777" w:rsidR="007976F1" w:rsidRPr="00303C10" w:rsidRDefault="007976F1" w:rsidP="007976F1">
            <w:pPr>
              <w:pStyle w:val="BodyText"/>
              <w:rPr>
                <w:bCs/>
                <w:u w:val="single"/>
              </w:rPr>
            </w:pPr>
            <w:r w:rsidRPr="00303C10">
              <w:rPr>
                <w:bCs/>
              </w:rPr>
              <w:t>Any value in data domain.</w:t>
            </w:r>
          </w:p>
        </w:tc>
      </w:tr>
      <w:tr w:rsidR="007976F1" w:rsidRPr="00303C10" w14:paraId="50BF8E3A" w14:textId="77777777" w:rsidTr="007C2700">
        <w:trPr>
          <w:trHeight w:val="315"/>
        </w:trPr>
        <w:tc>
          <w:tcPr>
            <w:tcW w:w="1545" w:type="dxa"/>
            <w:shd w:val="clear" w:color="auto" w:fill="94DCEF"/>
            <w:vAlign w:val="center"/>
            <w:hideMark/>
          </w:tcPr>
          <w:p w14:paraId="55075599" w14:textId="77777777" w:rsidR="007976F1" w:rsidRPr="00303C10" w:rsidRDefault="007976F1" w:rsidP="007976F1">
            <w:pPr>
              <w:pStyle w:val="BodyText"/>
              <w:rPr>
                <w:b/>
                <w:bCs/>
              </w:rPr>
            </w:pPr>
            <w:r w:rsidRPr="00303C10">
              <w:rPr>
                <w:b/>
                <w:bCs/>
              </w:rPr>
              <w:t>File Format Item #</w:t>
            </w:r>
          </w:p>
        </w:tc>
        <w:tc>
          <w:tcPr>
            <w:tcW w:w="708" w:type="dxa"/>
            <w:shd w:val="clear" w:color="auto" w:fill="B8E5FC"/>
            <w:vAlign w:val="center"/>
            <w:hideMark/>
          </w:tcPr>
          <w:p w14:paraId="156BA43A" w14:textId="77777777" w:rsidR="007976F1" w:rsidRPr="00303C10" w:rsidRDefault="007976F1" w:rsidP="007976F1">
            <w:pPr>
              <w:pStyle w:val="BodyText"/>
              <w:rPr>
                <w:bCs/>
              </w:rPr>
            </w:pPr>
            <w:r w:rsidRPr="00303C10">
              <w:rPr>
                <w:bCs/>
              </w:rPr>
              <w:t>47</w:t>
            </w:r>
          </w:p>
        </w:tc>
        <w:tc>
          <w:tcPr>
            <w:tcW w:w="2268" w:type="dxa"/>
            <w:shd w:val="clear" w:color="auto" w:fill="94DCEF"/>
            <w:vAlign w:val="center"/>
            <w:hideMark/>
          </w:tcPr>
          <w:p w14:paraId="5D881026" w14:textId="77777777" w:rsidR="007976F1" w:rsidRPr="00303C10" w:rsidRDefault="007976F1" w:rsidP="007976F1">
            <w:pPr>
              <w:pStyle w:val="BodyText"/>
              <w:rPr>
                <w:b/>
                <w:bCs/>
              </w:rPr>
            </w:pPr>
            <w:r w:rsidRPr="00303C10">
              <w:rPr>
                <w:b/>
                <w:bCs/>
              </w:rPr>
              <w:t>File Format Data Item</w:t>
            </w:r>
          </w:p>
        </w:tc>
        <w:tc>
          <w:tcPr>
            <w:tcW w:w="3686" w:type="dxa"/>
            <w:shd w:val="clear" w:color="auto" w:fill="B8E5FC"/>
            <w:vAlign w:val="center"/>
            <w:hideMark/>
          </w:tcPr>
          <w:p w14:paraId="47E05BCB" w14:textId="77777777" w:rsidR="007976F1" w:rsidRPr="00303C10" w:rsidRDefault="00EC2651" w:rsidP="007976F1">
            <w:pPr>
              <w:pStyle w:val="BodyText"/>
              <w:rPr>
                <w:bCs/>
                <w:u w:val="single"/>
              </w:rPr>
            </w:pPr>
            <w:hyperlink r:id="rId21" w:history="1">
              <w:r w:rsidR="007976F1" w:rsidRPr="00303C10">
                <w:rPr>
                  <w:rStyle w:val="Hyperlink"/>
                  <w:bCs/>
                </w:rPr>
                <w:t>Commonwealth exemption type</w:t>
              </w:r>
            </w:hyperlink>
          </w:p>
        </w:tc>
        <w:tc>
          <w:tcPr>
            <w:tcW w:w="2551" w:type="dxa"/>
            <w:shd w:val="clear" w:color="auto" w:fill="94DCEF"/>
            <w:vAlign w:val="center"/>
          </w:tcPr>
          <w:p w14:paraId="052E5A5C" w14:textId="77777777" w:rsidR="007976F1" w:rsidRPr="00303C10" w:rsidRDefault="007976F1" w:rsidP="007976F1">
            <w:pPr>
              <w:pStyle w:val="BodyText"/>
              <w:rPr>
                <w:bCs/>
                <w:u w:val="single"/>
              </w:rPr>
            </w:pPr>
            <w:r w:rsidRPr="00303C10">
              <w:rPr>
                <w:b/>
                <w:bCs/>
              </w:rPr>
              <w:t>Relevant Values in Data Domain</w:t>
            </w:r>
          </w:p>
        </w:tc>
        <w:tc>
          <w:tcPr>
            <w:tcW w:w="2988" w:type="dxa"/>
            <w:gridSpan w:val="2"/>
            <w:shd w:val="clear" w:color="auto" w:fill="auto"/>
            <w:vAlign w:val="center"/>
          </w:tcPr>
          <w:p w14:paraId="5E4D2634" w14:textId="77777777" w:rsidR="007976F1" w:rsidRPr="00303C10" w:rsidRDefault="007976F1" w:rsidP="007976F1">
            <w:pPr>
              <w:pStyle w:val="BodyText"/>
              <w:rPr>
                <w:bCs/>
                <w:u w:val="single"/>
              </w:rPr>
            </w:pPr>
            <w:r w:rsidRPr="00303C10">
              <w:rPr>
                <w:bCs/>
              </w:rPr>
              <w:t>Any value in data domain.</w:t>
            </w:r>
          </w:p>
        </w:tc>
      </w:tr>
      <w:tr w:rsidR="007976F1" w:rsidRPr="00CC1DA4" w14:paraId="523A744D" w14:textId="77777777" w:rsidTr="00C03652">
        <w:trPr>
          <w:gridAfter w:val="1"/>
          <w:wAfter w:w="11" w:type="dxa"/>
          <w:trHeight w:val="488"/>
        </w:trPr>
        <w:tc>
          <w:tcPr>
            <w:tcW w:w="13735" w:type="dxa"/>
            <w:gridSpan w:val="6"/>
            <w:shd w:val="clear" w:color="auto" w:fill="001D47"/>
            <w:hideMark/>
          </w:tcPr>
          <w:p w14:paraId="066455C1" w14:textId="48103B1A" w:rsidR="007976F1" w:rsidRPr="00346E96" w:rsidRDefault="007976F1" w:rsidP="007976F1">
            <w:pPr>
              <w:spacing w:after="120"/>
              <w:jc w:val="center"/>
              <w:rPr>
                <w:rFonts w:eastAsia="MS PGothic" w:cs="Arial"/>
                <w:b/>
                <w:bCs/>
                <w:color w:val="FFFFFF"/>
                <w:sz w:val="32"/>
                <w:szCs w:val="32"/>
              </w:rPr>
            </w:pPr>
            <w:r w:rsidRPr="00346E96">
              <w:rPr>
                <w:rFonts w:eastAsia="MS PGothic" w:cs="Arial"/>
                <w:b/>
                <w:bCs/>
                <w:color w:val="FFFFFF"/>
                <w:sz w:val="32"/>
                <w:szCs w:val="32"/>
              </w:rPr>
              <w:lastRenderedPageBreak/>
              <w:t>QHNAPDC IHACPA Reporting Prioritisation Criteria 202</w:t>
            </w:r>
            <w:r>
              <w:rPr>
                <w:rFonts w:eastAsia="MS PGothic" w:cs="Arial"/>
                <w:b/>
                <w:bCs/>
                <w:color w:val="FFFFFF"/>
                <w:sz w:val="32"/>
                <w:szCs w:val="32"/>
              </w:rPr>
              <w:t>4</w:t>
            </w:r>
            <w:r w:rsidRPr="00346E96">
              <w:rPr>
                <w:rFonts w:eastAsia="MS PGothic" w:cs="Arial"/>
                <w:b/>
                <w:bCs/>
                <w:color w:val="FFFFFF"/>
                <w:sz w:val="32"/>
                <w:szCs w:val="32"/>
              </w:rPr>
              <w:t>-202</w:t>
            </w:r>
            <w:r>
              <w:rPr>
                <w:rFonts w:eastAsia="MS PGothic" w:cs="Arial"/>
                <w:b/>
                <w:bCs/>
                <w:color w:val="FFFFFF"/>
                <w:sz w:val="32"/>
                <w:szCs w:val="32"/>
              </w:rPr>
              <w:t>5</w:t>
            </w:r>
            <w:r w:rsidRPr="00346E96">
              <w:rPr>
                <w:rFonts w:eastAsia="MS PGothic" w:cs="Arial"/>
                <w:b/>
                <w:bCs/>
                <w:color w:val="FFFFFF"/>
                <w:sz w:val="32"/>
                <w:szCs w:val="32"/>
              </w:rPr>
              <w:t xml:space="preserve"> as advised by Healthcare Purchasing and Funding Branch</w:t>
            </w:r>
          </w:p>
        </w:tc>
      </w:tr>
      <w:tr w:rsidR="007976F1" w:rsidRPr="00CC1DA4" w14:paraId="6350D48B" w14:textId="77777777" w:rsidTr="00C03652">
        <w:trPr>
          <w:gridAfter w:val="1"/>
          <w:wAfter w:w="11" w:type="dxa"/>
          <w:trHeight w:val="488"/>
        </w:trPr>
        <w:tc>
          <w:tcPr>
            <w:tcW w:w="13735" w:type="dxa"/>
            <w:gridSpan w:val="6"/>
            <w:shd w:val="clear" w:color="auto" w:fill="auto"/>
          </w:tcPr>
          <w:p w14:paraId="278C87BD" w14:textId="32037B60" w:rsidR="007976F1" w:rsidRPr="001E2654" w:rsidRDefault="007976F1" w:rsidP="007976F1">
            <w:pPr>
              <w:rPr>
                <w:rFonts w:eastAsia="MS PGothic" w:cs="Arial"/>
                <w:szCs w:val="22"/>
              </w:rPr>
            </w:pPr>
            <w:r w:rsidRPr="001E2654">
              <w:rPr>
                <w:rFonts w:eastAsia="MS PGothic" w:cs="Arial"/>
                <w:color w:val="000000"/>
                <w:szCs w:val="22"/>
              </w:rPr>
              <w:t>When more than one service event occurs for</w:t>
            </w:r>
            <w:r w:rsidRPr="001E2654">
              <w:rPr>
                <w:rFonts w:eastAsia="MS PGothic" w:cs="Arial"/>
                <w:szCs w:val="22"/>
              </w:rPr>
              <w:t xml:space="preserve"> the same patient, at the same facility for the same Tier 2 clinic class on a given calendar day regardless of funding source, the IHACPA reportable flags will be assigned according to the ranking in the table </w:t>
            </w:r>
            <w:hyperlink w:anchor="IHACPA_Reporting_Prioritisation_Criteria" w:history="1">
              <w:r w:rsidRPr="001E2654">
                <w:rPr>
                  <w:rFonts w:eastAsia="MS PGothic" w:cs="Arial"/>
                  <w:color w:val="FF0000"/>
                  <w:szCs w:val="22"/>
                  <w:u w:val="single"/>
                </w:rPr>
                <w:t>IHACPA Reporting Prioritisation Criteria</w:t>
              </w:r>
            </w:hyperlink>
            <w:r w:rsidRPr="001E2654">
              <w:rPr>
                <w:rFonts w:eastAsia="MS PGothic" w:cs="Arial"/>
                <w:szCs w:val="22"/>
              </w:rPr>
              <w:t>.</w:t>
            </w:r>
          </w:p>
          <w:p w14:paraId="5540285D" w14:textId="77777777" w:rsidR="007976F1" w:rsidRPr="001E2654" w:rsidRDefault="007976F1" w:rsidP="007976F1">
            <w:pPr>
              <w:rPr>
                <w:rFonts w:eastAsia="MS PGothic" w:cs="Arial"/>
                <w:color w:val="000000"/>
                <w:szCs w:val="22"/>
              </w:rPr>
            </w:pPr>
          </w:p>
          <w:p w14:paraId="1959554C" w14:textId="77777777" w:rsidR="007976F1" w:rsidRPr="001E2654" w:rsidRDefault="007976F1" w:rsidP="007976F1">
            <w:pPr>
              <w:spacing w:after="120"/>
              <w:rPr>
                <w:rFonts w:eastAsia="MS PGothic" w:cs="Arial"/>
                <w:color w:val="000000"/>
                <w:szCs w:val="22"/>
              </w:rPr>
            </w:pPr>
            <w:r w:rsidRPr="001E2654">
              <w:rPr>
                <w:rFonts w:eastAsia="MS PGothic" w:cs="Arial"/>
                <w:color w:val="000000"/>
                <w:szCs w:val="22"/>
              </w:rPr>
              <w:t>The data elements used to identify these service events are:</w:t>
            </w:r>
          </w:p>
          <w:p w14:paraId="132A1277" w14:textId="77777777" w:rsidR="007976F1" w:rsidRPr="001D765D" w:rsidRDefault="007976F1" w:rsidP="007976F1">
            <w:pPr>
              <w:pStyle w:val="NumberedList2Column"/>
              <w:rPr>
                <w:rFonts w:eastAsia="MS PGothic"/>
              </w:rPr>
            </w:pPr>
            <w:r w:rsidRPr="001D765D">
              <w:rPr>
                <w:rFonts w:eastAsia="MS PGothic"/>
              </w:rPr>
              <w:t>facility identifier</w:t>
            </w:r>
          </w:p>
          <w:p w14:paraId="50130824" w14:textId="77777777" w:rsidR="007976F1" w:rsidRPr="001D765D" w:rsidRDefault="007976F1" w:rsidP="007976F1">
            <w:pPr>
              <w:pStyle w:val="NumberedList2Column"/>
              <w:rPr>
                <w:rFonts w:eastAsia="MS PGothic"/>
              </w:rPr>
            </w:pPr>
            <w:r w:rsidRPr="001D765D">
              <w:rPr>
                <w:rFonts w:eastAsia="MS PGothic"/>
              </w:rPr>
              <w:t>patient identifier</w:t>
            </w:r>
          </w:p>
          <w:p w14:paraId="052C2DAA" w14:textId="77777777" w:rsidR="007976F1" w:rsidRPr="001D765D" w:rsidRDefault="007976F1" w:rsidP="007976F1">
            <w:pPr>
              <w:pStyle w:val="NumberedList2Column"/>
              <w:rPr>
                <w:rFonts w:eastAsia="MS PGothic"/>
              </w:rPr>
            </w:pPr>
            <w:r w:rsidRPr="001D765D">
              <w:rPr>
                <w:rFonts w:eastAsia="MS PGothic"/>
              </w:rPr>
              <w:t>service event date, and</w:t>
            </w:r>
          </w:p>
          <w:p w14:paraId="0AE08B68" w14:textId="77777777" w:rsidR="007976F1" w:rsidRPr="00346E96" w:rsidRDefault="007976F1" w:rsidP="007976F1">
            <w:pPr>
              <w:pStyle w:val="NumberedList2Column"/>
              <w:rPr>
                <w:rFonts w:eastAsia="MS PGothic"/>
              </w:rPr>
            </w:pPr>
            <w:r w:rsidRPr="001D765D">
              <w:rPr>
                <w:rFonts w:eastAsia="MS PGothic"/>
              </w:rPr>
              <w:t>the derived IHACPA Tier 2 clinic class using the data elements of Corporate Clinic Code and Service Provider</w:t>
            </w:r>
          </w:p>
        </w:tc>
      </w:tr>
      <w:tr w:rsidR="007976F1" w:rsidRPr="0017538F" w14:paraId="705D6A68" w14:textId="77777777" w:rsidTr="00C0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540"/>
        </w:trPr>
        <w:tc>
          <w:tcPr>
            <w:tcW w:w="13735" w:type="dxa"/>
            <w:gridSpan w:val="6"/>
            <w:tcBorders>
              <w:left w:val="single" w:sz="12" w:space="0" w:color="auto"/>
              <w:bottom w:val="single" w:sz="12" w:space="0" w:color="auto"/>
              <w:right w:val="single" w:sz="12" w:space="0" w:color="auto"/>
            </w:tcBorders>
            <w:shd w:val="clear" w:color="auto" w:fill="auto"/>
          </w:tcPr>
          <w:p w14:paraId="2EF6C871" w14:textId="77777777" w:rsidR="007976F1" w:rsidRPr="00346E96" w:rsidRDefault="007976F1" w:rsidP="007976F1">
            <w:pPr>
              <w:rPr>
                <w:rFonts w:cs="Arial"/>
                <w:b/>
                <w:bCs/>
                <w:color w:val="FF0000"/>
                <w:sz w:val="28"/>
                <w:szCs w:val="28"/>
              </w:rPr>
            </w:pPr>
            <w:bookmarkStart w:id="1" w:name="IHACPA_Reporting_Prioritisation_Criteria"/>
            <w:r w:rsidRPr="00346E96">
              <w:rPr>
                <w:rFonts w:cs="Arial"/>
                <w:b/>
                <w:bCs/>
                <w:color w:val="FF0000"/>
                <w:sz w:val="28"/>
                <w:szCs w:val="28"/>
              </w:rPr>
              <w:t>IHACPA Reporting Prioritisation Criteria</w:t>
            </w:r>
          </w:p>
          <w:bookmarkEnd w:id="1"/>
          <w:p w14:paraId="4C7458C3" w14:textId="77777777" w:rsidR="007976F1" w:rsidRPr="00346E96" w:rsidRDefault="007976F1" w:rsidP="007976F1">
            <w:pPr>
              <w:rPr>
                <w:rFonts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506"/>
              <w:gridCol w:w="1882"/>
              <w:gridCol w:w="7665"/>
              <w:gridCol w:w="1535"/>
            </w:tblGrid>
            <w:tr w:rsidR="007976F1" w:rsidRPr="00A523AE" w14:paraId="45459CC7" w14:textId="77777777" w:rsidTr="007C2700">
              <w:trPr>
                <w:trHeight w:val="512"/>
              </w:trPr>
              <w:tc>
                <w:tcPr>
                  <w:tcW w:w="0" w:type="auto"/>
                  <w:shd w:val="clear" w:color="auto" w:fill="DAE5F5"/>
                  <w:vAlign w:val="center"/>
                  <w:hideMark/>
                </w:tcPr>
                <w:p w14:paraId="267E1625" w14:textId="77777777" w:rsidR="007976F1" w:rsidRPr="00A523AE" w:rsidRDefault="007976F1" w:rsidP="007976F1">
                  <w:pPr>
                    <w:pStyle w:val="BodyTextCondensed"/>
                    <w:spacing w:line="240" w:lineRule="auto"/>
                    <w:jc w:val="center"/>
                  </w:pPr>
                  <w:r w:rsidRPr="001D765D">
                    <w:rPr>
                      <w:b/>
                      <w:bCs/>
                    </w:rPr>
                    <w:t>Priority</w:t>
                  </w:r>
                </w:p>
              </w:tc>
              <w:tc>
                <w:tcPr>
                  <w:tcW w:w="1506" w:type="dxa"/>
                  <w:shd w:val="clear" w:color="auto" w:fill="8EA9DB"/>
                  <w:vAlign w:val="center"/>
                  <w:hideMark/>
                </w:tcPr>
                <w:p w14:paraId="4E245318" w14:textId="77777777" w:rsidR="007976F1" w:rsidRPr="001D765D" w:rsidRDefault="007976F1" w:rsidP="007976F1">
                  <w:pPr>
                    <w:pStyle w:val="BodyTextCondensed"/>
                    <w:spacing w:line="240" w:lineRule="auto"/>
                    <w:jc w:val="center"/>
                    <w:rPr>
                      <w:b/>
                      <w:bCs/>
                    </w:rPr>
                  </w:pPr>
                  <w:r w:rsidRPr="001D765D">
                    <w:rPr>
                      <w:b/>
                      <w:bCs/>
                    </w:rPr>
                    <w:t>Data element</w:t>
                  </w:r>
                </w:p>
              </w:tc>
              <w:tc>
                <w:tcPr>
                  <w:tcW w:w="1882" w:type="dxa"/>
                  <w:shd w:val="clear" w:color="auto" w:fill="8EA9DB"/>
                  <w:vAlign w:val="center"/>
                  <w:hideMark/>
                </w:tcPr>
                <w:p w14:paraId="6294AEC3" w14:textId="77777777" w:rsidR="007976F1" w:rsidRPr="001D765D" w:rsidRDefault="007976F1" w:rsidP="007976F1">
                  <w:pPr>
                    <w:pStyle w:val="BodyTextCondensed"/>
                    <w:spacing w:line="240" w:lineRule="auto"/>
                    <w:jc w:val="center"/>
                    <w:rPr>
                      <w:b/>
                      <w:bCs/>
                    </w:rPr>
                  </w:pPr>
                  <w:r w:rsidRPr="001D765D">
                    <w:rPr>
                      <w:b/>
                      <w:bCs/>
                    </w:rPr>
                    <w:t>Domain Code</w:t>
                  </w:r>
                </w:p>
              </w:tc>
              <w:tc>
                <w:tcPr>
                  <w:tcW w:w="7899" w:type="dxa"/>
                  <w:shd w:val="clear" w:color="auto" w:fill="8EA9DB"/>
                  <w:vAlign w:val="center"/>
                  <w:hideMark/>
                </w:tcPr>
                <w:p w14:paraId="7D015005" w14:textId="77777777" w:rsidR="007976F1" w:rsidRPr="001D765D" w:rsidRDefault="007976F1" w:rsidP="007976F1">
                  <w:pPr>
                    <w:pStyle w:val="BodyTextCondensed"/>
                    <w:spacing w:line="240" w:lineRule="auto"/>
                    <w:jc w:val="center"/>
                    <w:rPr>
                      <w:b/>
                      <w:bCs/>
                    </w:rPr>
                  </w:pPr>
                  <w:r w:rsidRPr="001D765D">
                    <w:rPr>
                      <w:b/>
                      <w:bCs/>
                    </w:rPr>
                    <w:t>Domain Code Description</w:t>
                  </w:r>
                </w:p>
              </w:tc>
              <w:tc>
                <w:tcPr>
                  <w:tcW w:w="1301" w:type="dxa"/>
                  <w:shd w:val="clear" w:color="auto" w:fill="DAE5F5"/>
                  <w:vAlign w:val="center"/>
                  <w:hideMark/>
                </w:tcPr>
                <w:p w14:paraId="3667C036" w14:textId="77777777" w:rsidR="007976F1" w:rsidRPr="001D765D" w:rsidRDefault="007976F1" w:rsidP="007976F1">
                  <w:pPr>
                    <w:pStyle w:val="BodyTextCondensed"/>
                    <w:spacing w:line="240" w:lineRule="auto"/>
                    <w:jc w:val="center"/>
                    <w:rPr>
                      <w:b/>
                      <w:bCs/>
                    </w:rPr>
                  </w:pPr>
                  <w:r w:rsidRPr="001D765D">
                    <w:rPr>
                      <w:b/>
                      <w:bCs/>
                    </w:rPr>
                    <w:t>Rank</w:t>
                  </w:r>
                </w:p>
              </w:tc>
            </w:tr>
            <w:tr w:rsidR="007976F1" w:rsidRPr="00A523AE" w14:paraId="4B3A4231" w14:textId="77777777" w:rsidTr="007C2700">
              <w:trPr>
                <w:trHeight w:val="258"/>
              </w:trPr>
              <w:tc>
                <w:tcPr>
                  <w:tcW w:w="0" w:type="auto"/>
                  <w:vMerge w:val="restart"/>
                  <w:vAlign w:val="center"/>
                  <w:hideMark/>
                </w:tcPr>
                <w:p w14:paraId="1A9C4ADF" w14:textId="77777777" w:rsidR="007976F1" w:rsidRPr="0050053B" w:rsidRDefault="007976F1" w:rsidP="007976F1">
                  <w:pPr>
                    <w:pStyle w:val="TableText"/>
                    <w:rPr>
                      <w:b/>
                      <w:bCs/>
                      <w:sz w:val="28"/>
                      <w:szCs w:val="28"/>
                      <w:lang w:eastAsia="en-AU"/>
                    </w:rPr>
                  </w:pPr>
                  <w:r w:rsidRPr="0050053B">
                    <w:rPr>
                      <w:b/>
                      <w:bCs/>
                      <w:sz w:val="28"/>
                      <w:szCs w:val="28"/>
                      <w:lang w:eastAsia="en-AU"/>
                    </w:rPr>
                    <w:t>1</w:t>
                  </w:r>
                </w:p>
              </w:tc>
              <w:tc>
                <w:tcPr>
                  <w:tcW w:w="1506" w:type="dxa"/>
                  <w:vMerge w:val="restart"/>
                  <w:noWrap/>
                  <w:vAlign w:val="center"/>
                  <w:hideMark/>
                </w:tcPr>
                <w:p w14:paraId="78F118E9" w14:textId="77777777" w:rsidR="007976F1" w:rsidRPr="001E2654" w:rsidRDefault="00EC2651" w:rsidP="007976F1">
                  <w:pPr>
                    <w:pStyle w:val="TableText"/>
                    <w:rPr>
                      <w:color w:val="0563C1"/>
                      <w:sz w:val="22"/>
                      <w:szCs w:val="22"/>
                      <w:u w:val="single"/>
                      <w:lang w:eastAsia="en-AU"/>
                    </w:rPr>
                  </w:pPr>
                  <w:hyperlink r:id="rId22" w:history="1">
                    <w:r w:rsidR="007976F1" w:rsidRPr="001E2654">
                      <w:rPr>
                        <w:rStyle w:val="Hyperlink"/>
                        <w:rFonts w:eastAsia="Times New Roman"/>
                        <w:color w:val="0563C1"/>
                        <w:sz w:val="22"/>
                        <w:szCs w:val="22"/>
                      </w:rPr>
                      <w:t>Funding Source</w:t>
                    </w:r>
                  </w:hyperlink>
                </w:p>
              </w:tc>
              <w:tc>
                <w:tcPr>
                  <w:tcW w:w="1882" w:type="dxa"/>
                  <w:vAlign w:val="center"/>
                  <w:hideMark/>
                </w:tcPr>
                <w:p w14:paraId="5455A2EC" w14:textId="77777777" w:rsidR="007976F1" w:rsidRPr="00C03652" w:rsidRDefault="007976F1" w:rsidP="007976F1">
                  <w:pPr>
                    <w:pStyle w:val="TableText"/>
                    <w:jc w:val="right"/>
                    <w:rPr>
                      <w:rFonts w:ascii="Fira Sans" w:hAnsi="Fira Sans"/>
                      <w:sz w:val="21"/>
                      <w:szCs w:val="21"/>
                      <w:lang w:eastAsia="en-AU"/>
                    </w:rPr>
                  </w:pPr>
                  <w:r w:rsidRPr="00C03652">
                    <w:rPr>
                      <w:rFonts w:ascii="Fira Sans" w:hAnsi="Fira Sans"/>
                      <w:sz w:val="21"/>
                      <w:szCs w:val="21"/>
                      <w:lang w:eastAsia="en-AU"/>
                    </w:rPr>
                    <w:t>14</w:t>
                  </w:r>
                </w:p>
              </w:tc>
              <w:tc>
                <w:tcPr>
                  <w:tcW w:w="7899" w:type="dxa"/>
                  <w:vAlign w:val="center"/>
                  <w:hideMark/>
                </w:tcPr>
                <w:p w14:paraId="7458105F" w14:textId="77777777" w:rsidR="007976F1" w:rsidRPr="00C03652" w:rsidRDefault="007976F1" w:rsidP="007976F1">
                  <w:pPr>
                    <w:pStyle w:val="TableText"/>
                    <w:jc w:val="left"/>
                    <w:rPr>
                      <w:rFonts w:ascii="Fira Sans" w:hAnsi="Fira Sans"/>
                      <w:sz w:val="21"/>
                      <w:szCs w:val="21"/>
                      <w:lang w:eastAsia="en-AU"/>
                    </w:rPr>
                  </w:pPr>
                  <w:r w:rsidRPr="00C03652">
                    <w:rPr>
                      <w:rFonts w:ascii="Fira Sans" w:hAnsi="Fira Sans"/>
                      <w:sz w:val="21"/>
                      <w:szCs w:val="21"/>
                      <w:lang w:eastAsia="en-AU"/>
                    </w:rPr>
                    <w:t>Medicare Benefits Scheme</w:t>
                  </w:r>
                </w:p>
              </w:tc>
              <w:tc>
                <w:tcPr>
                  <w:tcW w:w="1301" w:type="dxa"/>
                  <w:vAlign w:val="center"/>
                  <w:hideMark/>
                </w:tcPr>
                <w:p w14:paraId="71790824" w14:textId="77777777" w:rsidR="007976F1" w:rsidRPr="00C03652" w:rsidRDefault="007976F1" w:rsidP="007976F1">
                  <w:pPr>
                    <w:pStyle w:val="TableText"/>
                    <w:jc w:val="left"/>
                    <w:rPr>
                      <w:rFonts w:ascii="Fira Sans" w:hAnsi="Fira Sans"/>
                      <w:sz w:val="21"/>
                      <w:szCs w:val="21"/>
                      <w:lang w:eastAsia="en-AU"/>
                    </w:rPr>
                  </w:pPr>
                  <w:r w:rsidRPr="00C03652">
                    <w:rPr>
                      <w:rFonts w:ascii="Fira Sans" w:hAnsi="Fira Sans"/>
                      <w:sz w:val="21"/>
                      <w:szCs w:val="21"/>
                      <w:lang w:eastAsia="en-AU"/>
                    </w:rPr>
                    <w:t>1</w:t>
                  </w:r>
                </w:p>
              </w:tc>
            </w:tr>
            <w:tr w:rsidR="007976F1" w:rsidRPr="00A523AE" w14:paraId="0A1E4054" w14:textId="77777777" w:rsidTr="007C2700">
              <w:trPr>
                <w:trHeight w:val="300"/>
              </w:trPr>
              <w:tc>
                <w:tcPr>
                  <w:tcW w:w="0" w:type="auto"/>
                  <w:vMerge/>
                  <w:vAlign w:val="center"/>
                  <w:hideMark/>
                </w:tcPr>
                <w:p w14:paraId="150A280C"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41AF0A75"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733109E3" w14:textId="77777777" w:rsidR="007976F1" w:rsidRPr="00C03652" w:rsidRDefault="007976F1" w:rsidP="007976F1">
                  <w:pPr>
                    <w:pStyle w:val="TableText"/>
                    <w:jc w:val="righ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07</w:t>
                  </w:r>
                </w:p>
              </w:tc>
              <w:tc>
                <w:tcPr>
                  <w:tcW w:w="7899" w:type="dxa"/>
                  <w:vAlign w:val="center"/>
                  <w:hideMark/>
                </w:tcPr>
                <w:p w14:paraId="3B552C12"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Department of Veterans' Affairs</w:t>
                  </w:r>
                </w:p>
              </w:tc>
              <w:tc>
                <w:tcPr>
                  <w:tcW w:w="1301" w:type="dxa"/>
                  <w:vAlign w:val="center"/>
                  <w:hideMark/>
                </w:tcPr>
                <w:p w14:paraId="4D8889E0"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2</w:t>
                  </w:r>
                </w:p>
              </w:tc>
            </w:tr>
            <w:tr w:rsidR="007976F1" w:rsidRPr="00A523AE" w14:paraId="6EF2CED3" w14:textId="77777777" w:rsidTr="007C2700">
              <w:trPr>
                <w:trHeight w:val="300"/>
              </w:trPr>
              <w:tc>
                <w:tcPr>
                  <w:tcW w:w="0" w:type="auto"/>
                  <w:vMerge/>
                  <w:vAlign w:val="center"/>
                  <w:hideMark/>
                </w:tcPr>
                <w:p w14:paraId="459683D9"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3A4CF18D"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34DB8045" w14:textId="77777777" w:rsidR="007976F1" w:rsidRPr="00C03652" w:rsidRDefault="007976F1" w:rsidP="007976F1">
                  <w:pPr>
                    <w:pStyle w:val="TableText"/>
                    <w:jc w:val="righ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04</w:t>
                  </w:r>
                </w:p>
              </w:tc>
              <w:tc>
                <w:tcPr>
                  <w:tcW w:w="7899" w:type="dxa"/>
                  <w:vAlign w:val="center"/>
                  <w:hideMark/>
                </w:tcPr>
                <w:p w14:paraId="63D4ACEF"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Worker's compensation</w:t>
                  </w:r>
                </w:p>
              </w:tc>
              <w:tc>
                <w:tcPr>
                  <w:tcW w:w="1301" w:type="dxa"/>
                  <w:vAlign w:val="center"/>
                  <w:hideMark/>
                </w:tcPr>
                <w:p w14:paraId="70FB2CCE"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3</w:t>
                  </w:r>
                </w:p>
              </w:tc>
            </w:tr>
            <w:tr w:rsidR="007976F1" w:rsidRPr="00A523AE" w14:paraId="436B5AB1" w14:textId="77777777" w:rsidTr="007C2700">
              <w:trPr>
                <w:trHeight w:val="300"/>
              </w:trPr>
              <w:tc>
                <w:tcPr>
                  <w:tcW w:w="0" w:type="auto"/>
                  <w:vMerge/>
                  <w:vAlign w:val="center"/>
                  <w:hideMark/>
                </w:tcPr>
                <w:p w14:paraId="73F55562"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25D97DA0"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23B521B1" w14:textId="77777777" w:rsidR="007976F1" w:rsidRPr="00C03652" w:rsidRDefault="007976F1" w:rsidP="007976F1">
                  <w:pPr>
                    <w:pStyle w:val="TableText"/>
                    <w:jc w:val="righ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05</w:t>
                  </w:r>
                </w:p>
              </w:tc>
              <w:tc>
                <w:tcPr>
                  <w:tcW w:w="7899" w:type="dxa"/>
                  <w:vAlign w:val="center"/>
                  <w:hideMark/>
                </w:tcPr>
                <w:p w14:paraId="76DA5079"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Motor vehicle third party personal claim</w:t>
                  </w:r>
                </w:p>
              </w:tc>
              <w:tc>
                <w:tcPr>
                  <w:tcW w:w="1301" w:type="dxa"/>
                  <w:vAlign w:val="center"/>
                  <w:hideMark/>
                </w:tcPr>
                <w:p w14:paraId="304E359B"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4</w:t>
                  </w:r>
                </w:p>
              </w:tc>
            </w:tr>
            <w:tr w:rsidR="007976F1" w:rsidRPr="00A523AE" w14:paraId="0F3DA443" w14:textId="77777777" w:rsidTr="007C2700">
              <w:trPr>
                <w:trHeight w:val="300"/>
              </w:trPr>
              <w:tc>
                <w:tcPr>
                  <w:tcW w:w="0" w:type="auto"/>
                  <w:vMerge/>
                  <w:vAlign w:val="center"/>
                  <w:hideMark/>
                </w:tcPr>
                <w:p w14:paraId="08831AE9"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28AC119F"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6C2CC458" w14:textId="77777777" w:rsidR="007976F1" w:rsidRPr="00C03652" w:rsidRDefault="007976F1" w:rsidP="007976F1">
                  <w:pPr>
                    <w:pStyle w:val="TableText"/>
                    <w:jc w:val="righ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08</w:t>
                  </w:r>
                </w:p>
              </w:tc>
              <w:tc>
                <w:tcPr>
                  <w:tcW w:w="7899" w:type="dxa"/>
                  <w:vAlign w:val="center"/>
                  <w:hideMark/>
                </w:tcPr>
                <w:p w14:paraId="0C755E08"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Department of Defence</w:t>
                  </w:r>
                </w:p>
              </w:tc>
              <w:tc>
                <w:tcPr>
                  <w:tcW w:w="1301" w:type="dxa"/>
                  <w:vAlign w:val="center"/>
                  <w:hideMark/>
                </w:tcPr>
                <w:p w14:paraId="0DA50857"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5</w:t>
                  </w:r>
                </w:p>
              </w:tc>
            </w:tr>
            <w:tr w:rsidR="007976F1" w:rsidRPr="00A523AE" w14:paraId="74FDF598" w14:textId="77777777" w:rsidTr="007C2700">
              <w:trPr>
                <w:trHeight w:val="300"/>
              </w:trPr>
              <w:tc>
                <w:tcPr>
                  <w:tcW w:w="0" w:type="auto"/>
                  <w:vMerge/>
                  <w:vAlign w:val="center"/>
                  <w:hideMark/>
                </w:tcPr>
                <w:p w14:paraId="4AD349B9"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26C01E91"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33616AC8" w14:textId="77777777" w:rsidR="007976F1" w:rsidRPr="00C03652" w:rsidRDefault="007976F1" w:rsidP="007976F1">
                  <w:pPr>
                    <w:pStyle w:val="TableText"/>
                    <w:jc w:val="righ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02</w:t>
                  </w:r>
                </w:p>
              </w:tc>
              <w:tc>
                <w:tcPr>
                  <w:tcW w:w="7899" w:type="dxa"/>
                  <w:vAlign w:val="center"/>
                  <w:hideMark/>
                </w:tcPr>
                <w:p w14:paraId="3B4A46C9"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Private health insurance</w:t>
                  </w:r>
                </w:p>
              </w:tc>
              <w:tc>
                <w:tcPr>
                  <w:tcW w:w="1301" w:type="dxa"/>
                  <w:vAlign w:val="center"/>
                  <w:hideMark/>
                </w:tcPr>
                <w:p w14:paraId="2B8A557A"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6</w:t>
                  </w:r>
                </w:p>
              </w:tc>
            </w:tr>
            <w:tr w:rsidR="007976F1" w:rsidRPr="00A523AE" w14:paraId="4C74A2A9" w14:textId="77777777" w:rsidTr="007C2700">
              <w:trPr>
                <w:trHeight w:val="300"/>
              </w:trPr>
              <w:tc>
                <w:tcPr>
                  <w:tcW w:w="0" w:type="auto"/>
                  <w:vMerge/>
                  <w:vAlign w:val="center"/>
                  <w:hideMark/>
                </w:tcPr>
                <w:p w14:paraId="4DC3C4F9"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6A686EEE"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43747E92" w14:textId="77777777" w:rsidR="007976F1" w:rsidRPr="00C03652" w:rsidRDefault="007976F1" w:rsidP="007976F1">
                  <w:pPr>
                    <w:pStyle w:val="TableText"/>
                    <w:jc w:val="righ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03</w:t>
                  </w:r>
                </w:p>
              </w:tc>
              <w:tc>
                <w:tcPr>
                  <w:tcW w:w="7899" w:type="dxa"/>
                  <w:vAlign w:val="center"/>
                  <w:hideMark/>
                </w:tcPr>
                <w:p w14:paraId="67288645"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Self-funded</w:t>
                  </w:r>
                </w:p>
              </w:tc>
              <w:tc>
                <w:tcPr>
                  <w:tcW w:w="1301" w:type="dxa"/>
                  <w:vAlign w:val="center"/>
                  <w:hideMark/>
                </w:tcPr>
                <w:p w14:paraId="18B4001A"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7</w:t>
                  </w:r>
                </w:p>
              </w:tc>
            </w:tr>
            <w:tr w:rsidR="007976F1" w:rsidRPr="00A523AE" w14:paraId="629B4B5F" w14:textId="77777777" w:rsidTr="007C2700">
              <w:trPr>
                <w:trHeight w:val="300"/>
              </w:trPr>
              <w:tc>
                <w:tcPr>
                  <w:tcW w:w="0" w:type="auto"/>
                  <w:vMerge/>
                  <w:vAlign w:val="center"/>
                  <w:hideMark/>
                </w:tcPr>
                <w:p w14:paraId="31911698"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261C9FF5"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33315292" w14:textId="77777777" w:rsidR="007976F1" w:rsidRPr="00C03652" w:rsidRDefault="007976F1" w:rsidP="007976F1">
                  <w:pPr>
                    <w:pStyle w:val="TableText"/>
                    <w:jc w:val="righ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06</w:t>
                  </w:r>
                </w:p>
              </w:tc>
              <w:tc>
                <w:tcPr>
                  <w:tcW w:w="7899" w:type="dxa"/>
                  <w:vAlign w:val="center"/>
                  <w:hideMark/>
                </w:tcPr>
                <w:p w14:paraId="06397958"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Other compensation (e.g., public liability, common law, medical negligence)</w:t>
                  </w:r>
                </w:p>
              </w:tc>
              <w:tc>
                <w:tcPr>
                  <w:tcW w:w="1301" w:type="dxa"/>
                  <w:vAlign w:val="center"/>
                  <w:hideMark/>
                </w:tcPr>
                <w:p w14:paraId="65F0D153" w14:textId="77777777" w:rsidR="007976F1" w:rsidRPr="00C03652" w:rsidRDefault="007976F1" w:rsidP="007976F1">
                  <w:pPr>
                    <w:pStyle w:val="TableText"/>
                    <w:jc w:val="left"/>
                    <w:rPr>
                      <w:rFonts w:ascii="Fira Sans" w:eastAsia="Times New Roman" w:hAnsi="Fira Sans"/>
                      <w:color w:val="000000"/>
                      <w:sz w:val="21"/>
                      <w:szCs w:val="21"/>
                      <w:lang w:eastAsia="en-AU"/>
                    </w:rPr>
                  </w:pPr>
                  <w:r w:rsidRPr="00C03652">
                    <w:rPr>
                      <w:rFonts w:ascii="Fira Sans" w:eastAsia="Times New Roman" w:hAnsi="Fira Sans"/>
                      <w:color w:val="000000"/>
                      <w:sz w:val="21"/>
                      <w:szCs w:val="21"/>
                      <w:lang w:eastAsia="en-AU"/>
                    </w:rPr>
                    <w:t>8</w:t>
                  </w:r>
                </w:p>
              </w:tc>
            </w:tr>
            <w:tr w:rsidR="007976F1" w:rsidRPr="00A523AE" w14:paraId="2EB00D7B" w14:textId="77777777" w:rsidTr="007C2700">
              <w:trPr>
                <w:trHeight w:val="300"/>
              </w:trPr>
              <w:tc>
                <w:tcPr>
                  <w:tcW w:w="0" w:type="auto"/>
                  <w:vMerge/>
                  <w:vAlign w:val="center"/>
                  <w:hideMark/>
                </w:tcPr>
                <w:p w14:paraId="7AA75CC4"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019EC291"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429AF5CA" w14:textId="77777777" w:rsidR="007976F1" w:rsidRPr="00C03652" w:rsidRDefault="007976F1" w:rsidP="007976F1">
                  <w:pPr>
                    <w:pStyle w:val="TableText"/>
                    <w:jc w:val="righ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09</w:t>
                  </w:r>
                </w:p>
              </w:tc>
              <w:tc>
                <w:tcPr>
                  <w:tcW w:w="7899" w:type="dxa"/>
                  <w:vAlign w:val="center"/>
                  <w:hideMark/>
                </w:tcPr>
                <w:p w14:paraId="4DD41A4E"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Correctional facility</w:t>
                  </w:r>
                </w:p>
              </w:tc>
              <w:tc>
                <w:tcPr>
                  <w:tcW w:w="1301" w:type="dxa"/>
                  <w:vAlign w:val="center"/>
                  <w:hideMark/>
                </w:tcPr>
                <w:p w14:paraId="5D01F20F"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9</w:t>
                  </w:r>
                </w:p>
              </w:tc>
            </w:tr>
            <w:tr w:rsidR="007976F1" w:rsidRPr="00A523AE" w14:paraId="4E278F7A" w14:textId="77777777" w:rsidTr="007C2700">
              <w:trPr>
                <w:trHeight w:val="300"/>
              </w:trPr>
              <w:tc>
                <w:tcPr>
                  <w:tcW w:w="0" w:type="auto"/>
                  <w:vMerge/>
                  <w:vAlign w:val="center"/>
                  <w:hideMark/>
                </w:tcPr>
                <w:p w14:paraId="3301EDF8"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6C13051A"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30B7B79F" w14:textId="77777777" w:rsidR="007976F1" w:rsidRPr="00C03652" w:rsidRDefault="007976F1" w:rsidP="007976F1">
                  <w:pPr>
                    <w:pStyle w:val="TableText"/>
                    <w:jc w:val="righ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12</w:t>
                  </w:r>
                </w:p>
              </w:tc>
              <w:tc>
                <w:tcPr>
                  <w:tcW w:w="7899" w:type="dxa"/>
                  <w:vAlign w:val="center"/>
                  <w:hideMark/>
                </w:tcPr>
                <w:p w14:paraId="130C2E4C"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Other funding source</w:t>
                  </w:r>
                </w:p>
              </w:tc>
              <w:tc>
                <w:tcPr>
                  <w:tcW w:w="1301" w:type="dxa"/>
                  <w:vAlign w:val="center"/>
                  <w:hideMark/>
                </w:tcPr>
                <w:p w14:paraId="5558E3CA"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10</w:t>
                  </w:r>
                </w:p>
              </w:tc>
            </w:tr>
            <w:tr w:rsidR="007976F1" w:rsidRPr="00A523AE" w14:paraId="2A1075EA" w14:textId="77777777" w:rsidTr="007C2700">
              <w:trPr>
                <w:trHeight w:val="300"/>
              </w:trPr>
              <w:tc>
                <w:tcPr>
                  <w:tcW w:w="0" w:type="auto"/>
                  <w:vMerge/>
                  <w:vAlign w:val="center"/>
                  <w:hideMark/>
                </w:tcPr>
                <w:p w14:paraId="5EB82604"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59975A78"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1E768078" w14:textId="77777777" w:rsidR="007976F1" w:rsidRPr="00C03652" w:rsidRDefault="007976F1" w:rsidP="007976F1">
                  <w:pPr>
                    <w:pStyle w:val="TableText"/>
                    <w:jc w:val="righ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01</w:t>
                  </w:r>
                </w:p>
              </w:tc>
              <w:tc>
                <w:tcPr>
                  <w:tcW w:w="7899" w:type="dxa"/>
                  <w:vAlign w:val="center"/>
                  <w:hideMark/>
                </w:tcPr>
                <w:p w14:paraId="432B2B06"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Health service budget (not covered elsewhere)</w:t>
                  </w:r>
                </w:p>
              </w:tc>
              <w:tc>
                <w:tcPr>
                  <w:tcW w:w="1301" w:type="dxa"/>
                  <w:vAlign w:val="center"/>
                  <w:hideMark/>
                </w:tcPr>
                <w:p w14:paraId="6A1E5E31"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11</w:t>
                  </w:r>
                </w:p>
              </w:tc>
            </w:tr>
            <w:tr w:rsidR="007976F1" w:rsidRPr="00A523AE" w14:paraId="039415AA" w14:textId="77777777" w:rsidTr="007C2700">
              <w:trPr>
                <w:trHeight w:val="300"/>
              </w:trPr>
              <w:tc>
                <w:tcPr>
                  <w:tcW w:w="0" w:type="auto"/>
                  <w:vMerge/>
                  <w:vAlign w:val="center"/>
                  <w:hideMark/>
                </w:tcPr>
                <w:p w14:paraId="54884C00"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0BD88C79"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0D91A3B9" w14:textId="77777777" w:rsidR="007976F1" w:rsidRPr="00C03652" w:rsidRDefault="007976F1" w:rsidP="007976F1">
                  <w:pPr>
                    <w:pStyle w:val="TableText"/>
                    <w:jc w:val="righ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10</w:t>
                  </w:r>
                </w:p>
              </w:tc>
              <w:tc>
                <w:tcPr>
                  <w:tcW w:w="7899" w:type="dxa"/>
                  <w:vAlign w:val="center"/>
                  <w:hideMark/>
                </w:tcPr>
                <w:p w14:paraId="2742B8AA"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Other hospital or public authority (contracted care)</w:t>
                  </w:r>
                </w:p>
              </w:tc>
              <w:tc>
                <w:tcPr>
                  <w:tcW w:w="1301" w:type="dxa"/>
                  <w:vAlign w:val="center"/>
                  <w:hideMark/>
                </w:tcPr>
                <w:p w14:paraId="45B31E09"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12</w:t>
                  </w:r>
                </w:p>
              </w:tc>
            </w:tr>
            <w:tr w:rsidR="007976F1" w:rsidRPr="00A523AE" w14:paraId="740E88A7" w14:textId="77777777" w:rsidTr="007C2700">
              <w:trPr>
                <w:trHeight w:val="330"/>
              </w:trPr>
              <w:tc>
                <w:tcPr>
                  <w:tcW w:w="0" w:type="auto"/>
                  <w:vMerge/>
                  <w:vAlign w:val="center"/>
                  <w:hideMark/>
                </w:tcPr>
                <w:p w14:paraId="630FDECA"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72E2E8E3"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060D2FD3" w14:textId="77777777" w:rsidR="007976F1" w:rsidRPr="00C03652" w:rsidRDefault="007976F1" w:rsidP="007976F1">
                  <w:pPr>
                    <w:pStyle w:val="TableText"/>
                    <w:jc w:val="righ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11</w:t>
                  </w:r>
                </w:p>
              </w:tc>
              <w:tc>
                <w:tcPr>
                  <w:tcW w:w="7899" w:type="dxa"/>
                  <w:vAlign w:val="center"/>
                  <w:hideMark/>
                </w:tcPr>
                <w:p w14:paraId="42F05FBC"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Health service budget (due to eligibility for Reciprocal Health Care Agreement)</w:t>
                  </w:r>
                </w:p>
              </w:tc>
              <w:tc>
                <w:tcPr>
                  <w:tcW w:w="1301" w:type="dxa"/>
                  <w:vAlign w:val="center"/>
                  <w:hideMark/>
                </w:tcPr>
                <w:p w14:paraId="1A957DF9"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13</w:t>
                  </w:r>
                </w:p>
              </w:tc>
            </w:tr>
            <w:tr w:rsidR="007976F1" w:rsidRPr="00A523AE" w14:paraId="1B794ED5" w14:textId="77777777" w:rsidTr="007C2700">
              <w:trPr>
                <w:trHeight w:val="300"/>
              </w:trPr>
              <w:tc>
                <w:tcPr>
                  <w:tcW w:w="0" w:type="auto"/>
                  <w:vMerge/>
                  <w:vAlign w:val="center"/>
                  <w:hideMark/>
                </w:tcPr>
                <w:p w14:paraId="6C9D6EA5"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vAlign w:val="center"/>
                  <w:hideMark/>
                </w:tcPr>
                <w:p w14:paraId="6EAA9312"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vAlign w:val="center"/>
                  <w:hideMark/>
                </w:tcPr>
                <w:p w14:paraId="20D8FF5E" w14:textId="77777777" w:rsidR="007976F1" w:rsidRPr="00C03652" w:rsidRDefault="007976F1" w:rsidP="007976F1">
                  <w:pPr>
                    <w:pStyle w:val="TableText"/>
                    <w:jc w:val="righ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13</w:t>
                  </w:r>
                </w:p>
              </w:tc>
              <w:tc>
                <w:tcPr>
                  <w:tcW w:w="7899" w:type="dxa"/>
                  <w:vAlign w:val="center"/>
                  <w:hideMark/>
                </w:tcPr>
                <w:p w14:paraId="3FC98D4B"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Health service budget (no charge raised due to hospital decision)</w:t>
                  </w:r>
                </w:p>
              </w:tc>
              <w:tc>
                <w:tcPr>
                  <w:tcW w:w="1301" w:type="dxa"/>
                  <w:vAlign w:val="center"/>
                  <w:hideMark/>
                </w:tcPr>
                <w:p w14:paraId="323E4F69"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14</w:t>
                  </w:r>
                </w:p>
              </w:tc>
            </w:tr>
            <w:tr w:rsidR="007976F1" w:rsidRPr="00A523AE" w14:paraId="7DC348AE" w14:textId="77777777" w:rsidTr="007C2700">
              <w:trPr>
                <w:trHeight w:val="315"/>
              </w:trPr>
              <w:tc>
                <w:tcPr>
                  <w:tcW w:w="0" w:type="auto"/>
                  <w:vMerge/>
                  <w:tcBorders>
                    <w:bottom w:val="single" w:sz="12" w:space="0" w:color="auto"/>
                  </w:tcBorders>
                  <w:vAlign w:val="center"/>
                  <w:hideMark/>
                </w:tcPr>
                <w:p w14:paraId="17D1F322" w14:textId="77777777" w:rsidR="007976F1" w:rsidRPr="001E2654" w:rsidRDefault="007976F1" w:rsidP="007976F1">
                  <w:pPr>
                    <w:pStyle w:val="TableText"/>
                    <w:rPr>
                      <w:rFonts w:ascii="Calibri" w:eastAsia="Times New Roman" w:hAnsi="Calibri" w:cs="Calibri"/>
                      <w:color w:val="000000"/>
                      <w:sz w:val="22"/>
                      <w:szCs w:val="22"/>
                      <w:lang w:eastAsia="en-AU"/>
                    </w:rPr>
                  </w:pPr>
                </w:p>
              </w:tc>
              <w:tc>
                <w:tcPr>
                  <w:tcW w:w="1506" w:type="dxa"/>
                  <w:vMerge/>
                  <w:tcBorders>
                    <w:bottom w:val="single" w:sz="12" w:space="0" w:color="auto"/>
                  </w:tcBorders>
                  <w:vAlign w:val="center"/>
                  <w:hideMark/>
                </w:tcPr>
                <w:p w14:paraId="6C692A34" w14:textId="77777777" w:rsidR="007976F1" w:rsidRPr="001E2654" w:rsidRDefault="007976F1" w:rsidP="007976F1">
                  <w:pPr>
                    <w:pStyle w:val="TableText"/>
                    <w:rPr>
                      <w:rFonts w:ascii="Calibri" w:eastAsia="Times New Roman" w:hAnsi="Calibri" w:cs="Calibri"/>
                      <w:color w:val="0563C1"/>
                      <w:sz w:val="22"/>
                      <w:szCs w:val="22"/>
                      <w:u w:val="single"/>
                      <w:lang w:eastAsia="en-AU"/>
                    </w:rPr>
                  </w:pPr>
                </w:p>
              </w:tc>
              <w:tc>
                <w:tcPr>
                  <w:tcW w:w="1882" w:type="dxa"/>
                  <w:tcBorders>
                    <w:bottom w:val="single" w:sz="12" w:space="0" w:color="auto"/>
                  </w:tcBorders>
                  <w:vAlign w:val="center"/>
                  <w:hideMark/>
                </w:tcPr>
                <w:p w14:paraId="1984F857" w14:textId="77777777" w:rsidR="007976F1" w:rsidRPr="00C03652" w:rsidRDefault="007976F1" w:rsidP="007976F1">
                  <w:pPr>
                    <w:pStyle w:val="TableText"/>
                    <w:jc w:val="righ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99</w:t>
                  </w:r>
                </w:p>
              </w:tc>
              <w:tc>
                <w:tcPr>
                  <w:tcW w:w="7899" w:type="dxa"/>
                  <w:tcBorders>
                    <w:bottom w:val="single" w:sz="12" w:space="0" w:color="auto"/>
                  </w:tcBorders>
                  <w:vAlign w:val="center"/>
                  <w:hideMark/>
                </w:tcPr>
                <w:p w14:paraId="1D37E75E"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Not stated/unknown</w:t>
                  </w:r>
                </w:p>
              </w:tc>
              <w:tc>
                <w:tcPr>
                  <w:tcW w:w="1301" w:type="dxa"/>
                  <w:tcBorders>
                    <w:bottom w:val="single" w:sz="12" w:space="0" w:color="auto"/>
                  </w:tcBorders>
                  <w:vAlign w:val="center"/>
                  <w:hideMark/>
                </w:tcPr>
                <w:p w14:paraId="04B3B8C0" w14:textId="77777777" w:rsidR="007976F1" w:rsidRPr="00C03652" w:rsidRDefault="007976F1" w:rsidP="007976F1">
                  <w:pPr>
                    <w:pStyle w:val="TableText"/>
                    <w:jc w:val="left"/>
                    <w:rPr>
                      <w:rFonts w:ascii="Fira Sans" w:eastAsia="Times New Roman" w:hAnsi="Fira Sans"/>
                      <w:color w:val="000000"/>
                      <w:sz w:val="22"/>
                      <w:szCs w:val="22"/>
                      <w:lang w:eastAsia="en-AU"/>
                    </w:rPr>
                  </w:pPr>
                  <w:r w:rsidRPr="00C03652">
                    <w:rPr>
                      <w:rFonts w:ascii="Fira Sans" w:eastAsia="Times New Roman" w:hAnsi="Fira Sans"/>
                      <w:color w:val="000000"/>
                      <w:sz w:val="22"/>
                      <w:szCs w:val="22"/>
                      <w:lang w:eastAsia="en-AU"/>
                    </w:rPr>
                    <w:t>15</w:t>
                  </w:r>
                </w:p>
              </w:tc>
            </w:tr>
            <w:tr w:rsidR="007976F1" w:rsidRPr="00A523AE" w14:paraId="41C9854D" w14:textId="77777777" w:rsidTr="007C2700">
              <w:trPr>
                <w:trHeight w:val="300"/>
              </w:trPr>
              <w:tc>
                <w:tcPr>
                  <w:tcW w:w="0" w:type="auto"/>
                  <w:vMerge w:val="restart"/>
                  <w:tcBorders>
                    <w:top w:val="single" w:sz="12" w:space="0" w:color="auto"/>
                  </w:tcBorders>
                  <w:vAlign w:val="center"/>
                  <w:hideMark/>
                </w:tcPr>
                <w:p w14:paraId="47C83E7C" w14:textId="77777777" w:rsidR="007976F1" w:rsidRPr="001E2654" w:rsidRDefault="007976F1" w:rsidP="007976F1">
                  <w:pPr>
                    <w:jc w:val="center"/>
                    <w:rPr>
                      <w:rFonts w:ascii="Calibri" w:hAnsi="Calibri" w:cs="Calibri"/>
                      <w:b/>
                      <w:bCs/>
                      <w:color w:val="000000"/>
                      <w:sz w:val="28"/>
                      <w:szCs w:val="28"/>
                    </w:rPr>
                  </w:pPr>
                  <w:r w:rsidRPr="001E2654">
                    <w:rPr>
                      <w:rFonts w:ascii="Calibri" w:hAnsi="Calibri" w:cs="Calibri"/>
                      <w:b/>
                      <w:bCs/>
                      <w:color w:val="000000"/>
                      <w:sz w:val="28"/>
                      <w:szCs w:val="28"/>
                    </w:rPr>
                    <w:t>2</w:t>
                  </w:r>
                </w:p>
              </w:tc>
              <w:tc>
                <w:tcPr>
                  <w:tcW w:w="1506" w:type="dxa"/>
                  <w:vMerge w:val="restart"/>
                  <w:tcBorders>
                    <w:top w:val="single" w:sz="12" w:space="0" w:color="auto"/>
                  </w:tcBorders>
                  <w:noWrap/>
                  <w:vAlign w:val="center"/>
                  <w:hideMark/>
                </w:tcPr>
                <w:p w14:paraId="6811FDE0" w14:textId="77777777" w:rsidR="007976F1" w:rsidRPr="001E2654" w:rsidRDefault="00EC2651" w:rsidP="007976F1">
                  <w:pPr>
                    <w:jc w:val="center"/>
                    <w:rPr>
                      <w:rFonts w:cs="Arial"/>
                      <w:color w:val="0563C1"/>
                      <w:szCs w:val="22"/>
                      <w:u w:val="single"/>
                    </w:rPr>
                  </w:pPr>
                  <w:hyperlink r:id="rId23" w:history="1">
                    <w:r w:rsidR="007976F1" w:rsidRPr="001E2654">
                      <w:rPr>
                        <w:rStyle w:val="Hyperlink"/>
                        <w:rFonts w:cs="Arial"/>
                        <w:color w:val="0563C1"/>
                        <w:szCs w:val="22"/>
                      </w:rPr>
                      <w:t>Service Delivery Mode</w:t>
                    </w:r>
                  </w:hyperlink>
                </w:p>
              </w:tc>
              <w:tc>
                <w:tcPr>
                  <w:tcW w:w="1882" w:type="dxa"/>
                  <w:tcBorders>
                    <w:top w:val="single" w:sz="12" w:space="0" w:color="auto"/>
                  </w:tcBorders>
                  <w:vAlign w:val="center"/>
                  <w:hideMark/>
                </w:tcPr>
                <w:p w14:paraId="15456A9F" w14:textId="77777777" w:rsidR="007976F1" w:rsidRPr="001E2654" w:rsidRDefault="007976F1" w:rsidP="007976F1">
                  <w:pPr>
                    <w:jc w:val="right"/>
                    <w:rPr>
                      <w:rFonts w:cs="Arial"/>
                      <w:color w:val="000000"/>
                      <w:szCs w:val="22"/>
                    </w:rPr>
                  </w:pPr>
                  <w:r w:rsidRPr="001E2654">
                    <w:rPr>
                      <w:rFonts w:cs="Arial"/>
                      <w:color w:val="000000"/>
                      <w:szCs w:val="22"/>
                    </w:rPr>
                    <w:t>11</w:t>
                  </w:r>
                </w:p>
              </w:tc>
              <w:tc>
                <w:tcPr>
                  <w:tcW w:w="7899" w:type="dxa"/>
                  <w:tcBorders>
                    <w:top w:val="single" w:sz="12" w:space="0" w:color="auto"/>
                  </w:tcBorders>
                  <w:vAlign w:val="center"/>
                  <w:hideMark/>
                </w:tcPr>
                <w:p w14:paraId="23180CFC" w14:textId="77777777" w:rsidR="007976F1" w:rsidRPr="001E2654" w:rsidRDefault="007976F1" w:rsidP="007976F1">
                  <w:pPr>
                    <w:rPr>
                      <w:rFonts w:cs="Arial"/>
                      <w:color w:val="000000"/>
                      <w:szCs w:val="22"/>
                    </w:rPr>
                  </w:pPr>
                  <w:r w:rsidRPr="001E2654">
                    <w:rPr>
                      <w:rFonts w:cs="Arial"/>
                      <w:color w:val="000000"/>
                      <w:szCs w:val="22"/>
                    </w:rPr>
                    <w:t>Telehealth provider</w:t>
                  </w:r>
                </w:p>
              </w:tc>
              <w:tc>
                <w:tcPr>
                  <w:tcW w:w="1301" w:type="dxa"/>
                  <w:tcBorders>
                    <w:top w:val="single" w:sz="12" w:space="0" w:color="auto"/>
                  </w:tcBorders>
                  <w:vAlign w:val="center"/>
                  <w:hideMark/>
                </w:tcPr>
                <w:p w14:paraId="6CB6F45D" w14:textId="77777777" w:rsidR="007976F1" w:rsidRPr="001E2654" w:rsidRDefault="007976F1" w:rsidP="007976F1">
                  <w:pPr>
                    <w:rPr>
                      <w:rFonts w:cs="Arial"/>
                      <w:color w:val="000000"/>
                      <w:szCs w:val="22"/>
                    </w:rPr>
                  </w:pPr>
                  <w:r w:rsidRPr="001E2654">
                    <w:rPr>
                      <w:rFonts w:cs="Arial"/>
                      <w:color w:val="000000"/>
                      <w:szCs w:val="22"/>
                    </w:rPr>
                    <w:t>1</w:t>
                  </w:r>
                </w:p>
              </w:tc>
            </w:tr>
            <w:tr w:rsidR="007976F1" w:rsidRPr="00A523AE" w14:paraId="724CD0FD" w14:textId="77777777" w:rsidTr="007C2700">
              <w:trPr>
                <w:trHeight w:val="300"/>
              </w:trPr>
              <w:tc>
                <w:tcPr>
                  <w:tcW w:w="0" w:type="auto"/>
                  <w:vMerge/>
                  <w:vAlign w:val="center"/>
                  <w:hideMark/>
                </w:tcPr>
                <w:p w14:paraId="6B0BBC01" w14:textId="77777777" w:rsidR="007976F1" w:rsidRPr="001E2654" w:rsidRDefault="007976F1" w:rsidP="007976F1">
                  <w:pPr>
                    <w:rPr>
                      <w:rFonts w:ascii="Calibri" w:hAnsi="Calibri" w:cs="Calibri"/>
                      <w:color w:val="000000"/>
                      <w:szCs w:val="22"/>
                    </w:rPr>
                  </w:pPr>
                </w:p>
              </w:tc>
              <w:tc>
                <w:tcPr>
                  <w:tcW w:w="1506" w:type="dxa"/>
                  <w:vMerge/>
                  <w:vAlign w:val="center"/>
                  <w:hideMark/>
                </w:tcPr>
                <w:p w14:paraId="3C3854D2" w14:textId="77777777" w:rsidR="007976F1" w:rsidRPr="001E2654" w:rsidRDefault="007976F1" w:rsidP="007976F1">
                  <w:pPr>
                    <w:rPr>
                      <w:rFonts w:cs="Arial"/>
                      <w:color w:val="0563C1"/>
                      <w:szCs w:val="22"/>
                      <w:u w:val="single"/>
                    </w:rPr>
                  </w:pPr>
                </w:p>
              </w:tc>
              <w:tc>
                <w:tcPr>
                  <w:tcW w:w="1882" w:type="dxa"/>
                  <w:vAlign w:val="center"/>
                  <w:hideMark/>
                </w:tcPr>
                <w:p w14:paraId="581AC9D7" w14:textId="77777777" w:rsidR="007976F1" w:rsidRPr="001E2654" w:rsidRDefault="007976F1" w:rsidP="007976F1">
                  <w:pPr>
                    <w:jc w:val="right"/>
                    <w:rPr>
                      <w:rFonts w:cs="Arial"/>
                      <w:color w:val="000000"/>
                      <w:szCs w:val="22"/>
                    </w:rPr>
                  </w:pPr>
                  <w:r w:rsidRPr="001E2654">
                    <w:rPr>
                      <w:rFonts w:cs="Arial"/>
                      <w:color w:val="000000"/>
                      <w:szCs w:val="22"/>
                    </w:rPr>
                    <w:t>1</w:t>
                  </w:r>
                </w:p>
              </w:tc>
              <w:tc>
                <w:tcPr>
                  <w:tcW w:w="7899" w:type="dxa"/>
                  <w:vAlign w:val="center"/>
                  <w:hideMark/>
                </w:tcPr>
                <w:p w14:paraId="16BE16DF" w14:textId="77777777" w:rsidR="007976F1" w:rsidRPr="001E2654" w:rsidRDefault="007976F1" w:rsidP="007976F1">
                  <w:pPr>
                    <w:rPr>
                      <w:rFonts w:cs="Arial"/>
                      <w:color w:val="000000"/>
                      <w:szCs w:val="22"/>
                    </w:rPr>
                  </w:pPr>
                  <w:r w:rsidRPr="001E2654">
                    <w:rPr>
                      <w:rFonts w:cs="Arial"/>
                      <w:color w:val="000000"/>
                      <w:szCs w:val="22"/>
                    </w:rPr>
                    <w:t>In person</w:t>
                  </w:r>
                </w:p>
              </w:tc>
              <w:tc>
                <w:tcPr>
                  <w:tcW w:w="1301" w:type="dxa"/>
                  <w:vAlign w:val="center"/>
                  <w:hideMark/>
                </w:tcPr>
                <w:p w14:paraId="158033B8" w14:textId="77777777" w:rsidR="007976F1" w:rsidRPr="001E2654" w:rsidRDefault="007976F1" w:rsidP="007976F1">
                  <w:pPr>
                    <w:rPr>
                      <w:rFonts w:cs="Arial"/>
                      <w:color w:val="000000"/>
                      <w:szCs w:val="22"/>
                    </w:rPr>
                  </w:pPr>
                  <w:r w:rsidRPr="001E2654">
                    <w:rPr>
                      <w:rFonts w:cs="Arial"/>
                      <w:color w:val="000000"/>
                      <w:szCs w:val="22"/>
                    </w:rPr>
                    <w:t>2</w:t>
                  </w:r>
                </w:p>
              </w:tc>
            </w:tr>
            <w:tr w:rsidR="007976F1" w:rsidRPr="00A523AE" w14:paraId="55595431" w14:textId="77777777" w:rsidTr="007C2700">
              <w:trPr>
                <w:trHeight w:val="300"/>
              </w:trPr>
              <w:tc>
                <w:tcPr>
                  <w:tcW w:w="0" w:type="auto"/>
                  <w:vMerge/>
                  <w:vAlign w:val="center"/>
                  <w:hideMark/>
                </w:tcPr>
                <w:p w14:paraId="07FA6E21" w14:textId="77777777" w:rsidR="007976F1" w:rsidRPr="001E2654" w:rsidRDefault="007976F1" w:rsidP="007976F1">
                  <w:pPr>
                    <w:rPr>
                      <w:rFonts w:ascii="Calibri" w:hAnsi="Calibri" w:cs="Calibri"/>
                      <w:color w:val="000000"/>
                      <w:szCs w:val="22"/>
                    </w:rPr>
                  </w:pPr>
                </w:p>
              </w:tc>
              <w:tc>
                <w:tcPr>
                  <w:tcW w:w="1506" w:type="dxa"/>
                  <w:vMerge/>
                  <w:vAlign w:val="center"/>
                  <w:hideMark/>
                </w:tcPr>
                <w:p w14:paraId="2D5F90FA" w14:textId="77777777" w:rsidR="007976F1" w:rsidRPr="001E2654" w:rsidRDefault="007976F1" w:rsidP="007976F1">
                  <w:pPr>
                    <w:rPr>
                      <w:rFonts w:cs="Arial"/>
                      <w:color w:val="0563C1"/>
                      <w:szCs w:val="22"/>
                      <w:u w:val="single"/>
                    </w:rPr>
                  </w:pPr>
                </w:p>
              </w:tc>
              <w:tc>
                <w:tcPr>
                  <w:tcW w:w="1882" w:type="dxa"/>
                  <w:vAlign w:val="center"/>
                  <w:hideMark/>
                </w:tcPr>
                <w:p w14:paraId="46498802" w14:textId="77777777" w:rsidR="007976F1" w:rsidRPr="001E2654" w:rsidRDefault="007976F1" w:rsidP="007976F1">
                  <w:pPr>
                    <w:jc w:val="right"/>
                    <w:rPr>
                      <w:rFonts w:cs="Arial"/>
                      <w:color w:val="000000"/>
                      <w:szCs w:val="22"/>
                    </w:rPr>
                  </w:pPr>
                  <w:r w:rsidRPr="001E2654">
                    <w:rPr>
                      <w:rFonts w:cs="Arial"/>
                      <w:color w:val="000000"/>
                      <w:szCs w:val="22"/>
                    </w:rPr>
                    <w:t>12</w:t>
                  </w:r>
                </w:p>
              </w:tc>
              <w:tc>
                <w:tcPr>
                  <w:tcW w:w="7899" w:type="dxa"/>
                  <w:vAlign w:val="center"/>
                  <w:hideMark/>
                </w:tcPr>
                <w:p w14:paraId="0DF38F9E" w14:textId="77777777" w:rsidR="007976F1" w:rsidRPr="001E2654" w:rsidRDefault="007976F1" w:rsidP="007976F1">
                  <w:pPr>
                    <w:rPr>
                      <w:rFonts w:cs="Arial"/>
                      <w:color w:val="000000"/>
                      <w:szCs w:val="22"/>
                    </w:rPr>
                  </w:pPr>
                  <w:r w:rsidRPr="001E2654">
                    <w:rPr>
                      <w:rFonts w:cs="Arial"/>
                      <w:color w:val="000000"/>
                      <w:szCs w:val="22"/>
                    </w:rPr>
                    <w:t>Telehealth recipient</w:t>
                  </w:r>
                </w:p>
              </w:tc>
              <w:tc>
                <w:tcPr>
                  <w:tcW w:w="1301" w:type="dxa"/>
                  <w:vAlign w:val="center"/>
                  <w:hideMark/>
                </w:tcPr>
                <w:p w14:paraId="53D96089" w14:textId="77777777" w:rsidR="007976F1" w:rsidRPr="001E2654" w:rsidRDefault="007976F1" w:rsidP="007976F1">
                  <w:pPr>
                    <w:rPr>
                      <w:rFonts w:cs="Arial"/>
                      <w:color w:val="000000"/>
                      <w:szCs w:val="22"/>
                    </w:rPr>
                  </w:pPr>
                  <w:r w:rsidRPr="001E2654">
                    <w:rPr>
                      <w:rFonts w:cs="Arial"/>
                      <w:color w:val="000000"/>
                      <w:szCs w:val="22"/>
                    </w:rPr>
                    <w:t>3</w:t>
                  </w:r>
                </w:p>
              </w:tc>
            </w:tr>
            <w:tr w:rsidR="007976F1" w:rsidRPr="00A523AE" w14:paraId="28FF56C9" w14:textId="77777777" w:rsidTr="007C2700">
              <w:trPr>
                <w:trHeight w:val="315"/>
              </w:trPr>
              <w:tc>
                <w:tcPr>
                  <w:tcW w:w="0" w:type="auto"/>
                  <w:vMerge/>
                  <w:vAlign w:val="center"/>
                  <w:hideMark/>
                </w:tcPr>
                <w:p w14:paraId="5EFFAF45" w14:textId="77777777" w:rsidR="007976F1" w:rsidRPr="001E2654" w:rsidRDefault="007976F1" w:rsidP="007976F1">
                  <w:pPr>
                    <w:rPr>
                      <w:rFonts w:ascii="Calibri" w:hAnsi="Calibri" w:cs="Calibri"/>
                      <w:color w:val="000000"/>
                      <w:szCs w:val="22"/>
                    </w:rPr>
                  </w:pPr>
                </w:p>
              </w:tc>
              <w:tc>
                <w:tcPr>
                  <w:tcW w:w="1506" w:type="dxa"/>
                  <w:vMerge/>
                  <w:vAlign w:val="center"/>
                  <w:hideMark/>
                </w:tcPr>
                <w:p w14:paraId="11F3D13F" w14:textId="77777777" w:rsidR="007976F1" w:rsidRPr="001E2654" w:rsidRDefault="007976F1" w:rsidP="007976F1">
                  <w:pPr>
                    <w:rPr>
                      <w:rFonts w:cs="Arial"/>
                      <w:color w:val="0563C1"/>
                      <w:szCs w:val="22"/>
                      <w:u w:val="single"/>
                    </w:rPr>
                  </w:pPr>
                </w:p>
              </w:tc>
              <w:tc>
                <w:tcPr>
                  <w:tcW w:w="1882" w:type="dxa"/>
                  <w:vAlign w:val="center"/>
                  <w:hideMark/>
                </w:tcPr>
                <w:p w14:paraId="51AF15EF" w14:textId="77777777" w:rsidR="007976F1" w:rsidRPr="001E2654" w:rsidRDefault="007976F1" w:rsidP="007976F1">
                  <w:pPr>
                    <w:jc w:val="right"/>
                    <w:rPr>
                      <w:rFonts w:cs="Arial"/>
                      <w:color w:val="000000"/>
                      <w:szCs w:val="22"/>
                    </w:rPr>
                  </w:pPr>
                  <w:r w:rsidRPr="001E2654">
                    <w:rPr>
                      <w:rFonts w:cs="Arial"/>
                      <w:color w:val="000000"/>
                      <w:szCs w:val="22"/>
                    </w:rPr>
                    <w:t>2</w:t>
                  </w:r>
                </w:p>
              </w:tc>
              <w:tc>
                <w:tcPr>
                  <w:tcW w:w="7899" w:type="dxa"/>
                  <w:vAlign w:val="center"/>
                  <w:hideMark/>
                </w:tcPr>
                <w:p w14:paraId="44E94691" w14:textId="77777777" w:rsidR="007976F1" w:rsidRPr="001E2654" w:rsidRDefault="007976F1" w:rsidP="007976F1">
                  <w:pPr>
                    <w:rPr>
                      <w:rFonts w:cs="Arial"/>
                      <w:color w:val="000000"/>
                      <w:szCs w:val="22"/>
                    </w:rPr>
                  </w:pPr>
                  <w:r w:rsidRPr="001E2654">
                    <w:rPr>
                      <w:rFonts w:cs="Arial"/>
                      <w:color w:val="000000"/>
                      <w:szCs w:val="22"/>
                    </w:rPr>
                    <w:t>Telephone</w:t>
                  </w:r>
                </w:p>
              </w:tc>
              <w:tc>
                <w:tcPr>
                  <w:tcW w:w="1301" w:type="dxa"/>
                  <w:vAlign w:val="center"/>
                  <w:hideMark/>
                </w:tcPr>
                <w:p w14:paraId="44451339" w14:textId="77777777" w:rsidR="007976F1" w:rsidRPr="001E2654" w:rsidRDefault="007976F1" w:rsidP="007976F1">
                  <w:pPr>
                    <w:rPr>
                      <w:rFonts w:cs="Arial"/>
                      <w:color w:val="000000"/>
                      <w:szCs w:val="22"/>
                    </w:rPr>
                  </w:pPr>
                  <w:r w:rsidRPr="001E2654">
                    <w:rPr>
                      <w:rFonts w:cs="Arial"/>
                      <w:color w:val="000000"/>
                      <w:szCs w:val="22"/>
                    </w:rPr>
                    <w:t>4</w:t>
                  </w:r>
                </w:p>
              </w:tc>
            </w:tr>
            <w:tr w:rsidR="007976F1" w:rsidRPr="00A523AE" w14:paraId="0807C017" w14:textId="77777777" w:rsidTr="007C2700">
              <w:trPr>
                <w:trHeight w:val="315"/>
              </w:trPr>
              <w:tc>
                <w:tcPr>
                  <w:tcW w:w="0" w:type="auto"/>
                  <w:vMerge/>
                  <w:vAlign w:val="center"/>
                  <w:hideMark/>
                </w:tcPr>
                <w:p w14:paraId="66B13821" w14:textId="77777777" w:rsidR="007976F1" w:rsidRPr="001E2654" w:rsidRDefault="007976F1" w:rsidP="007976F1">
                  <w:pPr>
                    <w:rPr>
                      <w:rFonts w:ascii="Calibri" w:hAnsi="Calibri" w:cs="Calibri"/>
                      <w:color w:val="000000"/>
                      <w:szCs w:val="22"/>
                    </w:rPr>
                  </w:pPr>
                </w:p>
              </w:tc>
              <w:tc>
                <w:tcPr>
                  <w:tcW w:w="1506" w:type="dxa"/>
                  <w:vMerge/>
                  <w:vAlign w:val="center"/>
                  <w:hideMark/>
                </w:tcPr>
                <w:p w14:paraId="37C34565" w14:textId="77777777" w:rsidR="007976F1" w:rsidRPr="001E2654" w:rsidRDefault="007976F1" w:rsidP="007976F1">
                  <w:pPr>
                    <w:rPr>
                      <w:rFonts w:cs="Arial"/>
                      <w:color w:val="0563C1"/>
                      <w:szCs w:val="22"/>
                      <w:u w:val="single"/>
                    </w:rPr>
                  </w:pPr>
                </w:p>
              </w:tc>
              <w:tc>
                <w:tcPr>
                  <w:tcW w:w="1882" w:type="dxa"/>
                  <w:vAlign w:val="center"/>
                  <w:hideMark/>
                </w:tcPr>
                <w:p w14:paraId="594A13C0" w14:textId="77777777" w:rsidR="007976F1" w:rsidRPr="001E2654" w:rsidRDefault="007976F1" w:rsidP="007976F1">
                  <w:pPr>
                    <w:jc w:val="right"/>
                    <w:rPr>
                      <w:rFonts w:cs="Arial"/>
                      <w:szCs w:val="22"/>
                    </w:rPr>
                  </w:pPr>
                  <w:r w:rsidRPr="001E2654">
                    <w:rPr>
                      <w:rFonts w:cs="Arial"/>
                      <w:szCs w:val="22"/>
                    </w:rPr>
                    <w:t>4</w:t>
                  </w:r>
                </w:p>
              </w:tc>
              <w:tc>
                <w:tcPr>
                  <w:tcW w:w="7899" w:type="dxa"/>
                  <w:vAlign w:val="center"/>
                  <w:hideMark/>
                </w:tcPr>
                <w:p w14:paraId="09E48159" w14:textId="77777777" w:rsidR="007976F1" w:rsidRPr="001E2654" w:rsidRDefault="007976F1" w:rsidP="007976F1">
                  <w:pPr>
                    <w:rPr>
                      <w:rFonts w:cs="Arial"/>
                      <w:szCs w:val="22"/>
                    </w:rPr>
                  </w:pPr>
                  <w:r w:rsidRPr="001E2654">
                    <w:rPr>
                      <w:rFonts w:cs="Arial"/>
                      <w:szCs w:val="22"/>
                    </w:rPr>
                    <w:t>Electronic mail</w:t>
                  </w:r>
                </w:p>
              </w:tc>
              <w:tc>
                <w:tcPr>
                  <w:tcW w:w="1301" w:type="dxa"/>
                  <w:vAlign w:val="center"/>
                  <w:hideMark/>
                </w:tcPr>
                <w:p w14:paraId="1E42E995" w14:textId="77777777" w:rsidR="007976F1" w:rsidRPr="001E2654" w:rsidRDefault="007976F1" w:rsidP="007976F1">
                  <w:pPr>
                    <w:rPr>
                      <w:rFonts w:cs="Arial"/>
                      <w:szCs w:val="22"/>
                    </w:rPr>
                  </w:pPr>
                  <w:r w:rsidRPr="001E2654">
                    <w:rPr>
                      <w:rFonts w:cs="Arial"/>
                      <w:szCs w:val="22"/>
                    </w:rPr>
                    <w:t>5</w:t>
                  </w:r>
                </w:p>
              </w:tc>
            </w:tr>
            <w:tr w:rsidR="007976F1" w:rsidRPr="00A523AE" w14:paraId="626AFB8A" w14:textId="77777777" w:rsidTr="007C2700">
              <w:trPr>
                <w:trHeight w:val="315"/>
              </w:trPr>
              <w:tc>
                <w:tcPr>
                  <w:tcW w:w="0" w:type="auto"/>
                  <w:vMerge/>
                  <w:vAlign w:val="center"/>
                  <w:hideMark/>
                </w:tcPr>
                <w:p w14:paraId="2C60E65B" w14:textId="77777777" w:rsidR="007976F1" w:rsidRPr="001E2654" w:rsidRDefault="007976F1" w:rsidP="007976F1">
                  <w:pPr>
                    <w:rPr>
                      <w:rFonts w:ascii="Calibri" w:hAnsi="Calibri" w:cs="Calibri"/>
                      <w:color w:val="000000"/>
                      <w:szCs w:val="22"/>
                    </w:rPr>
                  </w:pPr>
                </w:p>
              </w:tc>
              <w:tc>
                <w:tcPr>
                  <w:tcW w:w="1506" w:type="dxa"/>
                  <w:vMerge/>
                  <w:vAlign w:val="center"/>
                  <w:hideMark/>
                </w:tcPr>
                <w:p w14:paraId="1C720D26" w14:textId="77777777" w:rsidR="007976F1" w:rsidRPr="001E2654" w:rsidRDefault="007976F1" w:rsidP="007976F1">
                  <w:pPr>
                    <w:rPr>
                      <w:rFonts w:cs="Arial"/>
                      <w:color w:val="0563C1"/>
                      <w:szCs w:val="22"/>
                      <w:u w:val="single"/>
                    </w:rPr>
                  </w:pPr>
                </w:p>
              </w:tc>
              <w:tc>
                <w:tcPr>
                  <w:tcW w:w="1882" w:type="dxa"/>
                  <w:vAlign w:val="center"/>
                  <w:hideMark/>
                </w:tcPr>
                <w:p w14:paraId="5E6F2758" w14:textId="77777777" w:rsidR="007976F1" w:rsidRPr="001E2654" w:rsidRDefault="007976F1" w:rsidP="007976F1">
                  <w:pPr>
                    <w:jc w:val="right"/>
                    <w:rPr>
                      <w:rFonts w:cs="Arial"/>
                      <w:szCs w:val="22"/>
                    </w:rPr>
                  </w:pPr>
                  <w:r w:rsidRPr="001E2654">
                    <w:rPr>
                      <w:rFonts w:cs="Arial"/>
                      <w:szCs w:val="22"/>
                    </w:rPr>
                    <w:t>9</w:t>
                  </w:r>
                </w:p>
              </w:tc>
              <w:tc>
                <w:tcPr>
                  <w:tcW w:w="7899" w:type="dxa"/>
                  <w:vAlign w:val="center"/>
                  <w:hideMark/>
                </w:tcPr>
                <w:p w14:paraId="6945522D" w14:textId="77777777" w:rsidR="007976F1" w:rsidRPr="001E2654" w:rsidRDefault="007976F1" w:rsidP="007976F1">
                  <w:pPr>
                    <w:rPr>
                      <w:rFonts w:cs="Arial"/>
                      <w:szCs w:val="22"/>
                    </w:rPr>
                  </w:pPr>
                  <w:r w:rsidRPr="001E2654">
                    <w:rPr>
                      <w:rFonts w:cs="Arial"/>
                      <w:szCs w:val="22"/>
                    </w:rPr>
                    <w:t>Patient self-administered - other</w:t>
                  </w:r>
                </w:p>
              </w:tc>
              <w:tc>
                <w:tcPr>
                  <w:tcW w:w="1301" w:type="dxa"/>
                  <w:vAlign w:val="center"/>
                  <w:hideMark/>
                </w:tcPr>
                <w:p w14:paraId="236E882D" w14:textId="77777777" w:rsidR="007976F1" w:rsidRPr="001E2654" w:rsidRDefault="007976F1" w:rsidP="007976F1">
                  <w:pPr>
                    <w:rPr>
                      <w:rFonts w:cs="Arial"/>
                      <w:szCs w:val="22"/>
                    </w:rPr>
                  </w:pPr>
                  <w:r w:rsidRPr="001E2654">
                    <w:rPr>
                      <w:rFonts w:cs="Arial"/>
                      <w:szCs w:val="22"/>
                    </w:rPr>
                    <w:t>6</w:t>
                  </w:r>
                </w:p>
              </w:tc>
            </w:tr>
            <w:tr w:rsidR="007976F1" w:rsidRPr="00A523AE" w14:paraId="1EE63703" w14:textId="77777777" w:rsidTr="007C2700">
              <w:trPr>
                <w:trHeight w:val="315"/>
              </w:trPr>
              <w:tc>
                <w:tcPr>
                  <w:tcW w:w="0" w:type="auto"/>
                  <w:vMerge/>
                  <w:vAlign w:val="center"/>
                  <w:hideMark/>
                </w:tcPr>
                <w:p w14:paraId="3D40CB21" w14:textId="77777777" w:rsidR="007976F1" w:rsidRPr="001E2654" w:rsidRDefault="007976F1" w:rsidP="007976F1">
                  <w:pPr>
                    <w:rPr>
                      <w:rFonts w:ascii="Calibri" w:hAnsi="Calibri" w:cs="Calibri"/>
                      <w:color w:val="000000"/>
                      <w:szCs w:val="22"/>
                    </w:rPr>
                  </w:pPr>
                </w:p>
              </w:tc>
              <w:tc>
                <w:tcPr>
                  <w:tcW w:w="1506" w:type="dxa"/>
                  <w:vMerge/>
                  <w:vAlign w:val="center"/>
                  <w:hideMark/>
                </w:tcPr>
                <w:p w14:paraId="79BD7D56" w14:textId="77777777" w:rsidR="007976F1" w:rsidRPr="001E2654" w:rsidRDefault="007976F1" w:rsidP="007976F1">
                  <w:pPr>
                    <w:rPr>
                      <w:rFonts w:cs="Arial"/>
                      <w:color w:val="0563C1"/>
                      <w:szCs w:val="22"/>
                      <w:u w:val="single"/>
                    </w:rPr>
                  </w:pPr>
                </w:p>
              </w:tc>
              <w:tc>
                <w:tcPr>
                  <w:tcW w:w="1882" w:type="dxa"/>
                  <w:vAlign w:val="center"/>
                  <w:hideMark/>
                </w:tcPr>
                <w:p w14:paraId="757E4FF7" w14:textId="77777777" w:rsidR="007976F1" w:rsidRPr="001E2654" w:rsidRDefault="007976F1" w:rsidP="007976F1">
                  <w:pPr>
                    <w:jc w:val="right"/>
                    <w:rPr>
                      <w:rFonts w:cs="Arial"/>
                      <w:szCs w:val="22"/>
                    </w:rPr>
                  </w:pPr>
                  <w:r w:rsidRPr="001E2654">
                    <w:rPr>
                      <w:rFonts w:cs="Arial"/>
                      <w:szCs w:val="22"/>
                    </w:rPr>
                    <w:t>5</w:t>
                  </w:r>
                </w:p>
              </w:tc>
              <w:tc>
                <w:tcPr>
                  <w:tcW w:w="7899" w:type="dxa"/>
                  <w:vAlign w:val="center"/>
                  <w:hideMark/>
                </w:tcPr>
                <w:p w14:paraId="09CE9D29" w14:textId="77777777" w:rsidR="007976F1" w:rsidRPr="001E2654" w:rsidRDefault="007976F1" w:rsidP="007976F1">
                  <w:pPr>
                    <w:rPr>
                      <w:rFonts w:cs="Arial"/>
                      <w:szCs w:val="22"/>
                    </w:rPr>
                  </w:pPr>
                  <w:r w:rsidRPr="001E2654">
                    <w:rPr>
                      <w:rFonts w:cs="Arial"/>
                      <w:szCs w:val="22"/>
                    </w:rPr>
                    <w:t>Postal/courier service</w:t>
                  </w:r>
                </w:p>
              </w:tc>
              <w:tc>
                <w:tcPr>
                  <w:tcW w:w="1301" w:type="dxa"/>
                  <w:vAlign w:val="center"/>
                  <w:hideMark/>
                </w:tcPr>
                <w:p w14:paraId="566FED0F" w14:textId="77777777" w:rsidR="007976F1" w:rsidRPr="001E2654" w:rsidRDefault="007976F1" w:rsidP="007976F1">
                  <w:pPr>
                    <w:rPr>
                      <w:rFonts w:cs="Arial"/>
                      <w:szCs w:val="22"/>
                    </w:rPr>
                  </w:pPr>
                  <w:r w:rsidRPr="001E2654">
                    <w:rPr>
                      <w:rFonts w:cs="Arial"/>
                      <w:szCs w:val="22"/>
                    </w:rPr>
                    <w:t>7</w:t>
                  </w:r>
                </w:p>
              </w:tc>
            </w:tr>
            <w:tr w:rsidR="007976F1" w:rsidRPr="00A523AE" w14:paraId="3AEFF076" w14:textId="77777777" w:rsidTr="007C2700">
              <w:trPr>
                <w:trHeight w:val="315"/>
              </w:trPr>
              <w:tc>
                <w:tcPr>
                  <w:tcW w:w="0" w:type="auto"/>
                  <w:vMerge/>
                  <w:vAlign w:val="center"/>
                  <w:hideMark/>
                </w:tcPr>
                <w:p w14:paraId="00D92A69" w14:textId="77777777" w:rsidR="007976F1" w:rsidRPr="001E2654" w:rsidRDefault="007976F1" w:rsidP="007976F1">
                  <w:pPr>
                    <w:rPr>
                      <w:rFonts w:ascii="Calibri" w:hAnsi="Calibri" w:cs="Calibri"/>
                      <w:color w:val="000000"/>
                      <w:szCs w:val="22"/>
                    </w:rPr>
                  </w:pPr>
                </w:p>
              </w:tc>
              <w:tc>
                <w:tcPr>
                  <w:tcW w:w="1506" w:type="dxa"/>
                  <w:vMerge/>
                  <w:vAlign w:val="center"/>
                  <w:hideMark/>
                </w:tcPr>
                <w:p w14:paraId="263CBA17" w14:textId="77777777" w:rsidR="007976F1" w:rsidRPr="001E2654" w:rsidRDefault="007976F1" w:rsidP="007976F1">
                  <w:pPr>
                    <w:rPr>
                      <w:rFonts w:cs="Arial"/>
                      <w:color w:val="0563C1"/>
                      <w:szCs w:val="22"/>
                      <w:u w:val="single"/>
                    </w:rPr>
                  </w:pPr>
                </w:p>
              </w:tc>
              <w:tc>
                <w:tcPr>
                  <w:tcW w:w="1882" w:type="dxa"/>
                  <w:vAlign w:val="center"/>
                  <w:hideMark/>
                </w:tcPr>
                <w:p w14:paraId="02BBC3D3" w14:textId="77777777" w:rsidR="007976F1" w:rsidRPr="001E2654" w:rsidRDefault="007976F1" w:rsidP="007976F1">
                  <w:pPr>
                    <w:jc w:val="right"/>
                    <w:rPr>
                      <w:rFonts w:cs="Arial"/>
                      <w:szCs w:val="22"/>
                    </w:rPr>
                  </w:pPr>
                  <w:r w:rsidRPr="001E2654">
                    <w:rPr>
                      <w:rFonts w:cs="Arial"/>
                      <w:szCs w:val="22"/>
                    </w:rPr>
                    <w:t>8</w:t>
                  </w:r>
                </w:p>
              </w:tc>
              <w:tc>
                <w:tcPr>
                  <w:tcW w:w="7899" w:type="dxa"/>
                  <w:vAlign w:val="center"/>
                  <w:hideMark/>
                </w:tcPr>
                <w:p w14:paraId="78542EDB" w14:textId="77777777" w:rsidR="007976F1" w:rsidRPr="001E2654" w:rsidRDefault="007976F1" w:rsidP="007976F1">
                  <w:pPr>
                    <w:rPr>
                      <w:rFonts w:cs="Arial"/>
                      <w:szCs w:val="22"/>
                    </w:rPr>
                  </w:pPr>
                  <w:r w:rsidRPr="001E2654">
                    <w:rPr>
                      <w:rFonts w:cs="Arial"/>
                      <w:szCs w:val="22"/>
                    </w:rPr>
                    <w:t>Other</w:t>
                  </w:r>
                </w:p>
              </w:tc>
              <w:tc>
                <w:tcPr>
                  <w:tcW w:w="1301" w:type="dxa"/>
                  <w:vAlign w:val="center"/>
                  <w:hideMark/>
                </w:tcPr>
                <w:p w14:paraId="50968EC5" w14:textId="77777777" w:rsidR="007976F1" w:rsidRPr="001E2654" w:rsidRDefault="007976F1" w:rsidP="007976F1">
                  <w:pPr>
                    <w:rPr>
                      <w:rFonts w:cs="Arial"/>
                      <w:szCs w:val="22"/>
                    </w:rPr>
                  </w:pPr>
                  <w:r w:rsidRPr="001E2654">
                    <w:rPr>
                      <w:rFonts w:cs="Arial"/>
                      <w:szCs w:val="22"/>
                    </w:rPr>
                    <w:t>8</w:t>
                  </w:r>
                </w:p>
              </w:tc>
            </w:tr>
            <w:tr w:rsidR="007976F1" w:rsidRPr="00A523AE" w14:paraId="64E1C8FD" w14:textId="77777777" w:rsidTr="007C2700">
              <w:trPr>
                <w:trHeight w:val="315"/>
              </w:trPr>
              <w:tc>
                <w:tcPr>
                  <w:tcW w:w="0" w:type="auto"/>
                  <w:vMerge/>
                  <w:vAlign w:val="center"/>
                  <w:hideMark/>
                </w:tcPr>
                <w:p w14:paraId="21E8B0FE" w14:textId="77777777" w:rsidR="007976F1" w:rsidRPr="001E2654" w:rsidRDefault="007976F1" w:rsidP="007976F1">
                  <w:pPr>
                    <w:rPr>
                      <w:rFonts w:ascii="Calibri" w:hAnsi="Calibri" w:cs="Calibri"/>
                      <w:color w:val="000000"/>
                      <w:szCs w:val="22"/>
                    </w:rPr>
                  </w:pPr>
                </w:p>
              </w:tc>
              <w:tc>
                <w:tcPr>
                  <w:tcW w:w="1506" w:type="dxa"/>
                  <w:vMerge/>
                  <w:vAlign w:val="center"/>
                  <w:hideMark/>
                </w:tcPr>
                <w:p w14:paraId="76DAB6BE" w14:textId="77777777" w:rsidR="007976F1" w:rsidRPr="001E2654" w:rsidRDefault="007976F1" w:rsidP="007976F1">
                  <w:pPr>
                    <w:rPr>
                      <w:rFonts w:cs="Arial"/>
                      <w:color w:val="0563C1"/>
                      <w:szCs w:val="22"/>
                      <w:u w:val="single"/>
                    </w:rPr>
                  </w:pPr>
                </w:p>
              </w:tc>
              <w:tc>
                <w:tcPr>
                  <w:tcW w:w="1882" w:type="dxa"/>
                  <w:tcBorders>
                    <w:bottom w:val="single" w:sz="12" w:space="0" w:color="auto"/>
                  </w:tcBorders>
                  <w:vAlign w:val="center"/>
                  <w:hideMark/>
                </w:tcPr>
                <w:p w14:paraId="3FA19940" w14:textId="77777777" w:rsidR="007976F1" w:rsidRPr="001E2654" w:rsidRDefault="007976F1" w:rsidP="007976F1">
                  <w:pPr>
                    <w:jc w:val="right"/>
                    <w:rPr>
                      <w:rFonts w:cs="Arial"/>
                      <w:szCs w:val="22"/>
                    </w:rPr>
                  </w:pPr>
                  <w:r w:rsidRPr="001E2654">
                    <w:rPr>
                      <w:rFonts w:cs="Arial"/>
                      <w:szCs w:val="22"/>
                    </w:rPr>
                    <w:t>-</w:t>
                  </w:r>
                </w:p>
              </w:tc>
              <w:tc>
                <w:tcPr>
                  <w:tcW w:w="7899" w:type="dxa"/>
                  <w:tcBorders>
                    <w:bottom w:val="single" w:sz="12" w:space="0" w:color="auto"/>
                  </w:tcBorders>
                  <w:vAlign w:val="center"/>
                  <w:hideMark/>
                </w:tcPr>
                <w:p w14:paraId="3580FA67" w14:textId="77777777" w:rsidR="007976F1" w:rsidRPr="001E2654" w:rsidRDefault="007976F1" w:rsidP="007976F1">
                  <w:pPr>
                    <w:rPr>
                      <w:rFonts w:cs="Arial"/>
                      <w:szCs w:val="22"/>
                    </w:rPr>
                  </w:pPr>
                  <w:r w:rsidRPr="001E2654">
                    <w:rPr>
                      <w:rFonts w:cs="Arial"/>
                      <w:szCs w:val="22"/>
                    </w:rPr>
                    <w:t>Invalid service delivery mode</w:t>
                  </w:r>
                </w:p>
              </w:tc>
              <w:tc>
                <w:tcPr>
                  <w:tcW w:w="1301" w:type="dxa"/>
                  <w:tcBorders>
                    <w:bottom w:val="single" w:sz="12" w:space="0" w:color="auto"/>
                  </w:tcBorders>
                  <w:vAlign w:val="center"/>
                  <w:hideMark/>
                </w:tcPr>
                <w:p w14:paraId="30130634" w14:textId="77777777" w:rsidR="007976F1" w:rsidRPr="001E2654" w:rsidRDefault="007976F1" w:rsidP="007976F1">
                  <w:pPr>
                    <w:rPr>
                      <w:rFonts w:cs="Arial"/>
                      <w:szCs w:val="22"/>
                    </w:rPr>
                  </w:pPr>
                  <w:r w:rsidRPr="001E2654">
                    <w:rPr>
                      <w:rFonts w:cs="Arial"/>
                      <w:szCs w:val="22"/>
                    </w:rPr>
                    <w:t>9</w:t>
                  </w:r>
                </w:p>
              </w:tc>
            </w:tr>
            <w:tr w:rsidR="007976F1" w:rsidRPr="00A523AE" w14:paraId="7FB60F6D" w14:textId="77777777" w:rsidTr="007C2700">
              <w:trPr>
                <w:trHeight w:val="300"/>
              </w:trPr>
              <w:tc>
                <w:tcPr>
                  <w:tcW w:w="0" w:type="auto"/>
                  <w:vMerge w:val="restart"/>
                  <w:tcBorders>
                    <w:top w:val="single" w:sz="12" w:space="0" w:color="auto"/>
                  </w:tcBorders>
                  <w:vAlign w:val="center"/>
                  <w:hideMark/>
                </w:tcPr>
                <w:p w14:paraId="44E8726B" w14:textId="77777777" w:rsidR="007976F1" w:rsidRPr="001E2654" w:rsidRDefault="007976F1" w:rsidP="007976F1">
                  <w:pPr>
                    <w:jc w:val="center"/>
                    <w:rPr>
                      <w:rFonts w:ascii="Calibri" w:hAnsi="Calibri" w:cs="Calibri"/>
                      <w:b/>
                      <w:bCs/>
                      <w:color w:val="000000"/>
                      <w:sz w:val="28"/>
                      <w:szCs w:val="28"/>
                    </w:rPr>
                  </w:pPr>
                  <w:r w:rsidRPr="001E2654">
                    <w:rPr>
                      <w:rFonts w:ascii="Calibri" w:hAnsi="Calibri" w:cs="Calibri"/>
                      <w:b/>
                      <w:bCs/>
                      <w:color w:val="000000"/>
                      <w:sz w:val="28"/>
                      <w:szCs w:val="28"/>
                    </w:rPr>
                    <w:t>3</w:t>
                  </w:r>
                </w:p>
              </w:tc>
              <w:tc>
                <w:tcPr>
                  <w:tcW w:w="1506" w:type="dxa"/>
                  <w:vMerge w:val="restart"/>
                  <w:tcBorders>
                    <w:top w:val="single" w:sz="12" w:space="0" w:color="auto"/>
                  </w:tcBorders>
                  <w:noWrap/>
                  <w:vAlign w:val="center"/>
                  <w:hideMark/>
                </w:tcPr>
                <w:p w14:paraId="247A4AEA" w14:textId="77777777" w:rsidR="007976F1" w:rsidRPr="001E2654" w:rsidRDefault="00EC2651" w:rsidP="007976F1">
                  <w:pPr>
                    <w:jc w:val="center"/>
                    <w:rPr>
                      <w:rFonts w:cs="Arial"/>
                      <w:color w:val="0563C1"/>
                      <w:szCs w:val="22"/>
                      <w:u w:val="single"/>
                    </w:rPr>
                  </w:pPr>
                  <w:hyperlink r:id="rId24" w:history="1">
                    <w:r w:rsidR="007976F1" w:rsidRPr="001E2654">
                      <w:rPr>
                        <w:rStyle w:val="Hyperlink"/>
                        <w:rFonts w:cs="Arial"/>
                        <w:color w:val="0563C1"/>
                        <w:szCs w:val="22"/>
                      </w:rPr>
                      <w:t>New/ Review</w:t>
                    </w:r>
                  </w:hyperlink>
                </w:p>
              </w:tc>
              <w:tc>
                <w:tcPr>
                  <w:tcW w:w="1882" w:type="dxa"/>
                  <w:tcBorders>
                    <w:top w:val="single" w:sz="12" w:space="0" w:color="auto"/>
                  </w:tcBorders>
                  <w:vAlign w:val="center"/>
                  <w:hideMark/>
                </w:tcPr>
                <w:p w14:paraId="0298B6E6" w14:textId="77777777" w:rsidR="007976F1" w:rsidRPr="001E2654" w:rsidRDefault="007976F1" w:rsidP="007976F1">
                  <w:pPr>
                    <w:jc w:val="right"/>
                    <w:rPr>
                      <w:rFonts w:cs="Arial"/>
                      <w:color w:val="000000"/>
                      <w:szCs w:val="22"/>
                    </w:rPr>
                  </w:pPr>
                  <w:r w:rsidRPr="001E2654">
                    <w:rPr>
                      <w:rFonts w:cs="Arial"/>
                      <w:color w:val="000000"/>
                      <w:szCs w:val="22"/>
                    </w:rPr>
                    <w:t>1</w:t>
                  </w:r>
                </w:p>
              </w:tc>
              <w:tc>
                <w:tcPr>
                  <w:tcW w:w="7899" w:type="dxa"/>
                  <w:tcBorders>
                    <w:top w:val="single" w:sz="12" w:space="0" w:color="auto"/>
                  </w:tcBorders>
                  <w:vAlign w:val="center"/>
                  <w:hideMark/>
                </w:tcPr>
                <w:p w14:paraId="37AD3866" w14:textId="77777777" w:rsidR="007976F1" w:rsidRPr="001E2654" w:rsidRDefault="007976F1" w:rsidP="007976F1">
                  <w:pPr>
                    <w:rPr>
                      <w:rFonts w:cs="Arial"/>
                      <w:color w:val="000000"/>
                      <w:szCs w:val="22"/>
                    </w:rPr>
                  </w:pPr>
                  <w:r w:rsidRPr="001E2654">
                    <w:rPr>
                      <w:rFonts w:cs="Arial"/>
                      <w:color w:val="000000"/>
                      <w:szCs w:val="22"/>
                    </w:rPr>
                    <w:t>New</w:t>
                  </w:r>
                </w:p>
              </w:tc>
              <w:tc>
                <w:tcPr>
                  <w:tcW w:w="1301" w:type="dxa"/>
                  <w:tcBorders>
                    <w:top w:val="single" w:sz="12" w:space="0" w:color="auto"/>
                  </w:tcBorders>
                  <w:vAlign w:val="center"/>
                  <w:hideMark/>
                </w:tcPr>
                <w:p w14:paraId="0B59664B" w14:textId="77777777" w:rsidR="007976F1" w:rsidRPr="001E2654" w:rsidRDefault="007976F1" w:rsidP="007976F1">
                  <w:pPr>
                    <w:rPr>
                      <w:rFonts w:cs="Arial"/>
                      <w:color w:val="000000"/>
                      <w:szCs w:val="22"/>
                    </w:rPr>
                  </w:pPr>
                  <w:r w:rsidRPr="001E2654">
                    <w:rPr>
                      <w:rFonts w:cs="Arial"/>
                      <w:color w:val="000000"/>
                      <w:szCs w:val="22"/>
                    </w:rPr>
                    <w:t>1</w:t>
                  </w:r>
                </w:p>
              </w:tc>
            </w:tr>
            <w:tr w:rsidR="007976F1" w:rsidRPr="00A523AE" w14:paraId="03608922" w14:textId="77777777" w:rsidTr="007C2700">
              <w:trPr>
                <w:trHeight w:val="315"/>
              </w:trPr>
              <w:tc>
                <w:tcPr>
                  <w:tcW w:w="0" w:type="auto"/>
                  <w:vMerge/>
                  <w:tcBorders>
                    <w:bottom w:val="single" w:sz="4" w:space="0" w:color="auto"/>
                  </w:tcBorders>
                  <w:vAlign w:val="center"/>
                  <w:hideMark/>
                </w:tcPr>
                <w:p w14:paraId="067AD40B" w14:textId="77777777" w:rsidR="007976F1" w:rsidRPr="001E2654" w:rsidRDefault="007976F1" w:rsidP="007976F1">
                  <w:pPr>
                    <w:rPr>
                      <w:rFonts w:ascii="Calibri" w:hAnsi="Calibri" w:cs="Calibri"/>
                      <w:color w:val="000000"/>
                      <w:szCs w:val="22"/>
                    </w:rPr>
                  </w:pPr>
                </w:p>
              </w:tc>
              <w:tc>
                <w:tcPr>
                  <w:tcW w:w="1506" w:type="dxa"/>
                  <w:vMerge/>
                  <w:vAlign w:val="center"/>
                  <w:hideMark/>
                </w:tcPr>
                <w:p w14:paraId="31255ED2" w14:textId="77777777" w:rsidR="007976F1" w:rsidRPr="001E2654" w:rsidRDefault="007976F1" w:rsidP="007976F1">
                  <w:pPr>
                    <w:rPr>
                      <w:rFonts w:cs="Arial"/>
                      <w:color w:val="0563C1"/>
                      <w:szCs w:val="22"/>
                      <w:u w:val="single"/>
                    </w:rPr>
                  </w:pPr>
                </w:p>
              </w:tc>
              <w:tc>
                <w:tcPr>
                  <w:tcW w:w="1882" w:type="dxa"/>
                  <w:vAlign w:val="center"/>
                  <w:hideMark/>
                </w:tcPr>
                <w:p w14:paraId="01B37A4E" w14:textId="77777777" w:rsidR="007976F1" w:rsidRPr="001E2654" w:rsidRDefault="007976F1" w:rsidP="007976F1">
                  <w:pPr>
                    <w:jc w:val="right"/>
                    <w:rPr>
                      <w:rFonts w:cs="Arial"/>
                      <w:color w:val="000000"/>
                      <w:szCs w:val="22"/>
                    </w:rPr>
                  </w:pPr>
                  <w:r w:rsidRPr="001E2654">
                    <w:rPr>
                      <w:rFonts w:cs="Arial"/>
                      <w:color w:val="000000"/>
                      <w:szCs w:val="22"/>
                    </w:rPr>
                    <w:t>2</w:t>
                  </w:r>
                </w:p>
              </w:tc>
              <w:tc>
                <w:tcPr>
                  <w:tcW w:w="7899" w:type="dxa"/>
                  <w:vAlign w:val="center"/>
                  <w:hideMark/>
                </w:tcPr>
                <w:p w14:paraId="5D67B7E8" w14:textId="77777777" w:rsidR="007976F1" w:rsidRPr="001E2654" w:rsidRDefault="007976F1" w:rsidP="007976F1">
                  <w:pPr>
                    <w:rPr>
                      <w:rFonts w:cs="Arial"/>
                      <w:color w:val="000000"/>
                      <w:szCs w:val="22"/>
                    </w:rPr>
                  </w:pPr>
                  <w:r w:rsidRPr="001E2654">
                    <w:rPr>
                      <w:rFonts w:cs="Arial"/>
                      <w:color w:val="000000"/>
                      <w:szCs w:val="22"/>
                    </w:rPr>
                    <w:t>Review</w:t>
                  </w:r>
                </w:p>
              </w:tc>
              <w:tc>
                <w:tcPr>
                  <w:tcW w:w="1301" w:type="dxa"/>
                  <w:vAlign w:val="center"/>
                  <w:hideMark/>
                </w:tcPr>
                <w:p w14:paraId="6F073A9D" w14:textId="77777777" w:rsidR="007976F1" w:rsidRPr="001E2654" w:rsidRDefault="007976F1" w:rsidP="007976F1">
                  <w:pPr>
                    <w:rPr>
                      <w:rFonts w:cs="Arial"/>
                      <w:color w:val="000000"/>
                      <w:szCs w:val="22"/>
                    </w:rPr>
                  </w:pPr>
                  <w:r w:rsidRPr="001E2654">
                    <w:rPr>
                      <w:rFonts w:cs="Arial"/>
                      <w:color w:val="000000"/>
                      <w:szCs w:val="22"/>
                    </w:rPr>
                    <w:t>2</w:t>
                  </w:r>
                </w:p>
              </w:tc>
            </w:tr>
            <w:tr w:rsidR="007976F1" w:rsidRPr="00A523AE" w14:paraId="57072DFE" w14:textId="77777777" w:rsidTr="007C2700">
              <w:trPr>
                <w:trHeight w:val="315"/>
              </w:trPr>
              <w:tc>
                <w:tcPr>
                  <w:tcW w:w="0" w:type="auto"/>
                  <w:tcBorders>
                    <w:top w:val="single" w:sz="4" w:space="0" w:color="auto"/>
                    <w:bottom w:val="single" w:sz="12" w:space="0" w:color="auto"/>
                  </w:tcBorders>
                  <w:vAlign w:val="center"/>
                </w:tcPr>
                <w:p w14:paraId="297986A4" w14:textId="77777777" w:rsidR="007976F1" w:rsidRPr="001E2654" w:rsidRDefault="007976F1" w:rsidP="007976F1">
                  <w:pPr>
                    <w:rPr>
                      <w:rFonts w:ascii="Calibri" w:hAnsi="Calibri" w:cs="Calibri"/>
                      <w:color w:val="000000"/>
                      <w:szCs w:val="22"/>
                    </w:rPr>
                  </w:pPr>
                </w:p>
              </w:tc>
              <w:tc>
                <w:tcPr>
                  <w:tcW w:w="1506" w:type="dxa"/>
                  <w:tcBorders>
                    <w:bottom w:val="single" w:sz="12" w:space="0" w:color="auto"/>
                  </w:tcBorders>
                  <w:vAlign w:val="center"/>
                </w:tcPr>
                <w:p w14:paraId="362EF847" w14:textId="77777777" w:rsidR="007976F1" w:rsidRPr="001E2654" w:rsidRDefault="007976F1" w:rsidP="007976F1">
                  <w:pPr>
                    <w:rPr>
                      <w:rFonts w:cs="Arial"/>
                      <w:color w:val="0563C1"/>
                      <w:szCs w:val="22"/>
                      <w:u w:val="single"/>
                    </w:rPr>
                  </w:pPr>
                </w:p>
              </w:tc>
              <w:tc>
                <w:tcPr>
                  <w:tcW w:w="1882" w:type="dxa"/>
                  <w:tcBorders>
                    <w:bottom w:val="single" w:sz="12" w:space="0" w:color="auto"/>
                  </w:tcBorders>
                  <w:vAlign w:val="center"/>
                  <w:hideMark/>
                </w:tcPr>
                <w:p w14:paraId="42F78632" w14:textId="77777777" w:rsidR="007976F1" w:rsidRPr="001E2654" w:rsidRDefault="007976F1" w:rsidP="007976F1">
                  <w:pPr>
                    <w:jc w:val="right"/>
                    <w:rPr>
                      <w:rFonts w:cs="Arial"/>
                      <w:szCs w:val="22"/>
                    </w:rPr>
                  </w:pPr>
                  <w:r w:rsidRPr="001E2654">
                    <w:rPr>
                      <w:rFonts w:cs="Arial"/>
                      <w:szCs w:val="22"/>
                    </w:rPr>
                    <w:t>-</w:t>
                  </w:r>
                </w:p>
              </w:tc>
              <w:tc>
                <w:tcPr>
                  <w:tcW w:w="7899" w:type="dxa"/>
                  <w:tcBorders>
                    <w:bottom w:val="single" w:sz="12" w:space="0" w:color="auto"/>
                  </w:tcBorders>
                  <w:vAlign w:val="center"/>
                  <w:hideMark/>
                </w:tcPr>
                <w:p w14:paraId="2CE4142B" w14:textId="77777777" w:rsidR="007976F1" w:rsidRPr="001E2654" w:rsidRDefault="007976F1" w:rsidP="007976F1">
                  <w:pPr>
                    <w:rPr>
                      <w:rFonts w:cs="Arial"/>
                      <w:szCs w:val="22"/>
                    </w:rPr>
                  </w:pPr>
                  <w:r w:rsidRPr="001E2654">
                    <w:rPr>
                      <w:rFonts w:cs="Arial"/>
                      <w:szCs w:val="22"/>
                    </w:rPr>
                    <w:t>Invalid new/review flag</w:t>
                  </w:r>
                </w:p>
              </w:tc>
              <w:tc>
                <w:tcPr>
                  <w:tcW w:w="1301" w:type="dxa"/>
                  <w:tcBorders>
                    <w:bottom w:val="single" w:sz="12" w:space="0" w:color="auto"/>
                  </w:tcBorders>
                  <w:vAlign w:val="center"/>
                  <w:hideMark/>
                </w:tcPr>
                <w:p w14:paraId="44E66D98" w14:textId="77777777" w:rsidR="007976F1" w:rsidRPr="001E2654" w:rsidRDefault="007976F1" w:rsidP="007976F1">
                  <w:pPr>
                    <w:rPr>
                      <w:rFonts w:cs="Arial"/>
                      <w:szCs w:val="22"/>
                    </w:rPr>
                  </w:pPr>
                  <w:r w:rsidRPr="001E2654">
                    <w:rPr>
                      <w:rFonts w:cs="Arial"/>
                      <w:szCs w:val="22"/>
                    </w:rPr>
                    <w:t>3</w:t>
                  </w:r>
                </w:p>
              </w:tc>
            </w:tr>
            <w:tr w:rsidR="007976F1" w:rsidRPr="00A523AE" w14:paraId="40720AD8" w14:textId="77777777" w:rsidTr="007C2700">
              <w:trPr>
                <w:trHeight w:val="345"/>
              </w:trPr>
              <w:tc>
                <w:tcPr>
                  <w:tcW w:w="0" w:type="auto"/>
                  <w:tcBorders>
                    <w:top w:val="single" w:sz="12" w:space="0" w:color="auto"/>
                    <w:bottom w:val="single" w:sz="12" w:space="0" w:color="auto"/>
                  </w:tcBorders>
                  <w:vAlign w:val="center"/>
                  <w:hideMark/>
                </w:tcPr>
                <w:p w14:paraId="497C57F1" w14:textId="77777777" w:rsidR="007976F1" w:rsidRPr="001E2654" w:rsidRDefault="007976F1" w:rsidP="007976F1">
                  <w:pPr>
                    <w:jc w:val="center"/>
                    <w:rPr>
                      <w:rFonts w:ascii="Calibri" w:hAnsi="Calibri" w:cs="Calibri"/>
                      <w:b/>
                      <w:bCs/>
                      <w:color w:val="000000"/>
                      <w:sz w:val="28"/>
                      <w:szCs w:val="28"/>
                    </w:rPr>
                  </w:pPr>
                  <w:r w:rsidRPr="001E2654">
                    <w:rPr>
                      <w:rFonts w:ascii="Calibri" w:hAnsi="Calibri" w:cs="Calibri"/>
                      <w:b/>
                      <w:bCs/>
                      <w:color w:val="000000"/>
                      <w:sz w:val="28"/>
                      <w:szCs w:val="28"/>
                    </w:rPr>
                    <w:t>4</w:t>
                  </w:r>
                </w:p>
              </w:tc>
              <w:tc>
                <w:tcPr>
                  <w:tcW w:w="1506" w:type="dxa"/>
                  <w:tcBorders>
                    <w:top w:val="single" w:sz="12" w:space="0" w:color="auto"/>
                    <w:bottom w:val="single" w:sz="12" w:space="0" w:color="auto"/>
                  </w:tcBorders>
                  <w:noWrap/>
                  <w:vAlign w:val="center"/>
                  <w:hideMark/>
                </w:tcPr>
                <w:p w14:paraId="42469D41" w14:textId="77777777" w:rsidR="007976F1" w:rsidRPr="001E2654" w:rsidRDefault="00EC2651" w:rsidP="007976F1">
                  <w:pPr>
                    <w:jc w:val="center"/>
                    <w:rPr>
                      <w:rFonts w:cs="Arial"/>
                      <w:color w:val="0563C1"/>
                      <w:szCs w:val="22"/>
                      <w:u w:val="single"/>
                    </w:rPr>
                  </w:pPr>
                  <w:hyperlink r:id="rId25" w:history="1">
                    <w:r w:rsidR="007976F1" w:rsidRPr="001E2654">
                      <w:rPr>
                        <w:rStyle w:val="Hyperlink"/>
                        <w:rFonts w:cs="Arial"/>
                        <w:color w:val="0563C1"/>
                        <w:szCs w:val="22"/>
                      </w:rPr>
                      <w:t>Service event date</w:t>
                    </w:r>
                  </w:hyperlink>
                </w:p>
              </w:tc>
              <w:tc>
                <w:tcPr>
                  <w:tcW w:w="1882" w:type="dxa"/>
                  <w:tcBorders>
                    <w:top w:val="single" w:sz="12" w:space="0" w:color="auto"/>
                    <w:bottom w:val="single" w:sz="12" w:space="0" w:color="auto"/>
                  </w:tcBorders>
                  <w:vAlign w:val="center"/>
                  <w:hideMark/>
                </w:tcPr>
                <w:p w14:paraId="2A0BA540" w14:textId="77777777" w:rsidR="007976F1" w:rsidRPr="001E2654" w:rsidRDefault="007976F1" w:rsidP="007976F1">
                  <w:pPr>
                    <w:jc w:val="right"/>
                    <w:rPr>
                      <w:rFonts w:cs="Arial"/>
                      <w:color w:val="000000"/>
                      <w:szCs w:val="22"/>
                    </w:rPr>
                  </w:pPr>
                  <w:r w:rsidRPr="001E2654">
                    <w:rPr>
                      <w:rFonts w:cs="Arial"/>
                      <w:color w:val="000000"/>
                      <w:szCs w:val="22"/>
                    </w:rPr>
                    <w:t>DDMMYYYYhhmm</w:t>
                  </w:r>
                </w:p>
              </w:tc>
              <w:tc>
                <w:tcPr>
                  <w:tcW w:w="7899" w:type="dxa"/>
                  <w:tcBorders>
                    <w:top w:val="single" w:sz="12" w:space="0" w:color="auto"/>
                    <w:bottom w:val="single" w:sz="12" w:space="0" w:color="auto"/>
                  </w:tcBorders>
                  <w:vAlign w:val="center"/>
                  <w:hideMark/>
                </w:tcPr>
                <w:p w14:paraId="1BCF4B8A" w14:textId="77777777" w:rsidR="007976F1" w:rsidRPr="001E2654" w:rsidRDefault="007976F1" w:rsidP="007976F1">
                  <w:pPr>
                    <w:rPr>
                      <w:rFonts w:cs="Arial"/>
                      <w:color w:val="000000"/>
                      <w:szCs w:val="22"/>
                    </w:rPr>
                  </w:pPr>
                  <w:r w:rsidRPr="001E2654">
                    <w:rPr>
                      <w:rFonts w:cs="Arial"/>
                      <w:color w:val="000000"/>
                      <w:szCs w:val="22"/>
                    </w:rPr>
                    <w:t>Time</w:t>
                  </w:r>
                </w:p>
              </w:tc>
              <w:tc>
                <w:tcPr>
                  <w:tcW w:w="1301" w:type="dxa"/>
                  <w:tcBorders>
                    <w:top w:val="single" w:sz="12" w:space="0" w:color="auto"/>
                    <w:bottom w:val="single" w:sz="12" w:space="0" w:color="auto"/>
                  </w:tcBorders>
                  <w:vAlign w:val="center"/>
                  <w:hideMark/>
                </w:tcPr>
                <w:p w14:paraId="7A91A4F3" w14:textId="77777777" w:rsidR="007976F1" w:rsidRPr="001E2654" w:rsidRDefault="007976F1" w:rsidP="007976F1">
                  <w:pPr>
                    <w:rPr>
                      <w:rFonts w:cs="Arial"/>
                      <w:color w:val="000000"/>
                      <w:szCs w:val="22"/>
                    </w:rPr>
                  </w:pPr>
                  <w:r w:rsidRPr="001E2654">
                    <w:rPr>
                      <w:rFonts w:cs="Arial"/>
                      <w:color w:val="000000"/>
                      <w:szCs w:val="22"/>
                    </w:rPr>
                    <w:t>Chronological order</w:t>
                  </w:r>
                </w:p>
              </w:tc>
            </w:tr>
          </w:tbl>
          <w:p w14:paraId="7216D104" w14:textId="77777777" w:rsidR="007976F1" w:rsidRPr="00346E96" w:rsidRDefault="007976F1" w:rsidP="007976F1">
            <w:pPr>
              <w:rPr>
                <w:rFonts w:cs="Arial"/>
                <w:color w:val="000000"/>
                <w:sz w:val="16"/>
                <w:szCs w:val="16"/>
              </w:rPr>
            </w:pPr>
          </w:p>
        </w:tc>
      </w:tr>
      <w:tr w:rsidR="007976F1" w:rsidRPr="0017538F" w14:paraId="18DEB631" w14:textId="77777777" w:rsidTr="00C0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540"/>
        </w:trPr>
        <w:tc>
          <w:tcPr>
            <w:tcW w:w="13735" w:type="dxa"/>
            <w:gridSpan w:val="6"/>
            <w:tcBorders>
              <w:top w:val="single" w:sz="12" w:space="0" w:color="auto"/>
              <w:left w:val="single" w:sz="12" w:space="0" w:color="auto"/>
              <w:bottom w:val="single" w:sz="12" w:space="0" w:color="auto"/>
              <w:right w:val="single" w:sz="12" w:space="0" w:color="auto"/>
            </w:tcBorders>
            <w:shd w:val="clear" w:color="auto" w:fill="auto"/>
          </w:tcPr>
          <w:p w14:paraId="4AC7FD9C" w14:textId="1253368D" w:rsidR="007976F1" w:rsidRPr="00E36581" w:rsidRDefault="007976F1" w:rsidP="007976F1">
            <w:pPr>
              <w:pStyle w:val="BodySSBIndent"/>
              <w:numPr>
                <w:ilvl w:val="0"/>
                <w:numId w:val="21"/>
              </w:numPr>
            </w:pPr>
            <w:r w:rsidRPr="00E36581">
              <w:lastRenderedPageBreak/>
              <w:t xml:space="preserve">the sequential rank order for each data element is shown above, with the rank being applied as in the </w:t>
            </w:r>
            <w:hyperlink w:anchor="Examples_Rule_1" w:history="1">
              <w:r w:rsidRPr="00CC1164">
                <w:rPr>
                  <w:rStyle w:val="Hyperlink"/>
                </w:rPr>
                <w:t>examples</w:t>
              </w:r>
            </w:hyperlink>
            <w:r w:rsidRPr="00E36581">
              <w:t xml:space="preserve"> below.</w:t>
            </w:r>
          </w:p>
          <w:p w14:paraId="75591DD0" w14:textId="77777777" w:rsidR="007976F1" w:rsidRPr="00E36581" w:rsidRDefault="007976F1" w:rsidP="007976F1">
            <w:pPr>
              <w:pStyle w:val="BodySSBIndent"/>
              <w:numPr>
                <w:ilvl w:val="0"/>
                <w:numId w:val="21"/>
              </w:numPr>
            </w:pPr>
            <w:r w:rsidRPr="00E36581">
              <w:t xml:space="preserve">the ranked service event with value/s of 1 will have the </w:t>
            </w:r>
            <w:r>
              <w:t>IHACPA</w:t>
            </w:r>
            <w:r w:rsidRPr="00E36581">
              <w:t xml:space="preserve"> Reportable Flag set to </w:t>
            </w:r>
            <w:r>
              <w:t>‘</w:t>
            </w:r>
            <w:r w:rsidRPr="00E36581">
              <w:t>Y</w:t>
            </w:r>
            <w:r>
              <w:t>’</w:t>
            </w:r>
            <w:r w:rsidRPr="00E36581">
              <w:t>; and</w:t>
            </w:r>
          </w:p>
          <w:p w14:paraId="76D9B416" w14:textId="77777777" w:rsidR="007976F1" w:rsidRPr="00E36581" w:rsidRDefault="007976F1" w:rsidP="007976F1">
            <w:pPr>
              <w:pStyle w:val="BodySSBIndent"/>
              <w:numPr>
                <w:ilvl w:val="0"/>
                <w:numId w:val="21"/>
              </w:numPr>
            </w:pPr>
            <w:r w:rsidRPr="00E36581">
              <w:t xml:space="preserve">ranked service events with a value &gt;1 will have the </w:t>
            </w:r>
            <w:r>
              <w:t>IHACPA</w:t>
            </w:r>
            <w:r w:rsidRPr="00E36581">
              <w:t xml:space="preserve"> Reportable Flag set to </w:t>
            </w:r>
            <w:r>
              <w:t>‘</w:t>
            </w:r>
            <w:r w:rsidRPr="00E36581">
              <w:t>N</w:t>
            </w:r>
            <w:r>
              <w:t>’</w:t>
            </w:r>
            <w:r w:rsidRPr="00E36581">
              <w:t>.</w:t>
            </w:r>
          </w:p>
        </w:tc>
      </w:tr>
    </w:tbl>
    <w:p w14:paraId="577BB1AB" w14:textId="4952FD58" w:rsidR="00B04798" w:rsidRDefault="00B04798">
      <w:bookmarkStart w:id="2" w:name="_Toc128055669"/>
      <w:bookmarkStart w:id="3" w:name="_Toc137546420"/>
      <w:r>
        <w:br w:type="page"/>
      </w:r>
    </w:p>
    <w:p w14:paraId="0FCDE9F8" w14:textId="04730FF5" w:rsidR="00B04798" w:rsidRPr="00B04798" w:rsidRDefault="00B04798" w:rsidP="00B04798">
      <w:pPr>
        <w:pStyle w:val="BodyTextCondensed"/>
        <w:rPr>
          <w:rStyle w:val="Bold"/>
          <w:color w:val="FF0000"/>
          <w:sz w:val="28"/>
          <w:szCs w:val="28"/>
        </w:rPr>
      </w:pPr>
      <w:bookmarkStart w:id="4" w:name="Examples_Rule_1"/>
      <w:r w:rsidRPr="00B04798">
        <w:rPr>
          <w:rStyle w:val="Bold"/>
          <w:color w:val="FF0000"/>
          <w:sz w:val="28"/>
          <w:szCs w:val="28"/>
        </w:rPr>
        <w:lastRenderedPageBreak/>
        <w:t>Examples</w:t>
      </w:r>
      <w:bookmarkEnd w:id="4"/>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2835"/>
        <w:gridCol w:w="708"/>
        <w:gridCol w:w="1701"/>
        <w:gridCol w:w="709"/>
        <w:gridCol w:w="1418"/>
        <w:gridCol w:w="1275"/>
        <w:gridCol w:w="1560"/>
        <w:gridCol w:w="1001"/>
        <w:gridCol w:w="1267"/>
      </w:tblGrid>
      <w:tr w:rsidR="00B04798" w:rsidRPr="00B04798" w14:paraId="57FD18A0" w14:textId="77777777" w:rsidTr="00697A01">
        <w:trPr>
          <w:trHeight w:val="339"/>
          <w:jc w:val="center"/>
        </w:trPr>
        <w:tc>
          <w:tcPr>
            <w:tcW w:w="1545" w:type="dxa"/>
            <w:vMerge w:val="restart"/>
            <w:tcBorders>
              <w:top w:val="single" w:sz="12" w:space="0" w:color="auto"/>
              <w:left w:val="single" w:sz="12" w:space="0" w:color="auto"/>
              <w:right w:val="single" w:sz="12" w:space="0" w:color="auto"/>
            </w:tcBorders>
            <w:shd w:val="clear" w:color="auto" w:fill="F2F2F2"/>
            <w:vAlign w:val="bottom"/>
            <w:hideMark/>
          </w:tcPr>
          <w:p w14:paraId="2DC9A604" w14:textId="77777777" w:rsidR="00B04798" w:rsidRPr="00B04798" w:rsidRDefault="00B04798" w:rsidP="008A402A">
            <w:pPr>
              <w:pStyle w:val="BodyTextCondensed"/>
              <w:spacing w:line="240" w:lineRule="auto"/>
              <w:jc w:val="center"/>
              <w:rPr>
                <w:b/>
                <w:bCs/>
              </w:rPr>
            </w:pPr>
            <w:r w:rsidRPr="00B04798">
              <w:rPr>
                <w:b/>
                <w:bCs/>
              </w:rPr>
              <w:t xml:space="preserve">No of service events reported </w:t>
            </w:r>
            <w:r w:rsidRPr="00B04798">
              <w:rPr>
                <w:b/>
                <w:bCs/>
                <w:sz w:val="19"/>
                <w:szCs w:val="19"/>
              </w:rPr>
              <w:t>(same patient, same day, same Tier 2)</w:t>
            </w:r>
          </w:p>
        </w:tc>
        <w:tc>
          <w:tcPr>
            <w:tcW w:w="3543"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14:paraId="2BF2A246" w14:textId="77777777" w:rsidR="00B04798" w:rsidRPr="00B04798" w:rsidRDefault="00B04798" w:rsidP="008A402A">
            <w:pPr>
              <w:pStyle w:val="BodyTextCondensed"/>
              <w:spacing w:line="240" w:lineRule="auto"/>
              <w:jc w:val="center"/>
              <w:rPr>
                <w:b/>
                <w:bCs/>
                <w:color w:val="FF0000"/>
              </w:rPr>
            </w:pPr>
            <w:r w:rsidRPr="00B04798">
              <w:rPr>
                <w:b/>
                <w:bCs/>
                <w:color w:val="FF0000"/>
              </w:rPr>
              <w:t>Priority 1</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14:paraId="16482176" w14:textId="77777777" w:rsidR="00B04798" w:rsidRPr="00B04798" w:rsidRDefault="00B04798" w:rsidP="008A402A">
            <w:pPr>
              <w:pStyle w:val="BodyTextCondensed"/>
              <w:spacing w:line="240" w:lineRule="auto"/>
              <w:jc w:val="center"/>
              <w:rPr>
                <w:b/>
                <w:bCs/>
                <w:color w:val="FF0000"/>
              </w:rPr>
            </w:pPr>
            <w:r w:rsidRPr="00B04798">
              <w:rPr>
                <w:b/>
                <w:bCs/>
                <w:color w:val="FF0000"/>
              </w:rPr>
              <w:t>Priority 2</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14:paraId="68387106" w14:textId="77777777" w:rsidR="00B04798" w:rsidRPr="00B04798" w:rsidRDefault="00B04798" w:rsidP="008A402A">
            <w:pPr>
              <w:pStyle w:val="BodyTextCondensed"/>
              <w:spacing w:line="240" w:lineRule="auto"/>
              <w:jc w:val="center"/>
              <w:rPr>
                <w:b/>
                <w:bCs/>
                <w:color w:val="FF0000"/>
              </w:rPr>
            </w:pPr>
            <w:r w:rsidRPr="00B04798">
              <w:rPr>
                <w:b/>
                <w:bCs/>
                <w:color w:val="FF0000"/>
              </w:rPr>
              <w:t>Priority 3</w:t>
            </w:r>
          </w:p>
        </w:tc>
        <w:tc>
          <w:tcPr>
            <w:tcW w:w="1560"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14:paraId="5854E61E" w14:textId="77777777" w:rsidR="00B04798" w:rsidRPr="00B04798" w:rsidRDefault="00B04798" w:rsidP="008A402A">
            <w:pPr>
              <w:pStyle w:val="BodyTextCondensed"/>
              <w:spacing w:line="240" w:lineRule="auto"/>
              <w:jc w:val="center"/>
              <w:rPr>
                <w:b/>
                <w:bCs/>
                <w:color w:val="FF0000"/>
              </w:rPr>
            </w:pPr>
            <w:r w:rsidRPr="00B04798">
              <w:rPr>
                <w:b/>
                <w:bCs/>
                <w:color w:val="FF0000"/>
              </w:rPr>
              <w:t>Priority 4</w:t>
            </w:r>
          </w:p>
        </w:tc>
        <w:tc>
          <w:tcPr>
            <w:tcW w:w="1001" w:type="dxa"/>
            <w:vMerge w:val="restart"/>
            <w:tcBorders>
              <w:top w:val="single" w:sz="12" w:space="0" w:color="auto"/>
              <w:left w:val="single" w:sz="12" w:space="0" w:color="auto"/>
              <w:right w:val="single" w:sz="12" w:space="0" w:color="auto"/>
            </w:tcBorders>
            <w:shd w:val="clear" w:color="auto" w:fill="BBE7FA"/>
            <w:vAlign w:val="center"/>
            <w:hideMark/>
          </w:tcPr>
          <w:p w14:paraId="4C0CFF2A" w14:textId="77777777" w:rsidR="00B04798" w:rsidRPr="00B04798" w:rsidRDefault="00B04798" w:rsidP="008A402A">
            <w:pPr>
              <w:pStyle w:val="BodyTextCondensed"/>
              <w:spacing w:line="240" w:lineRule="auto"/>
              <w:jc w:val="center"/>
              <w:rPr>
                <w:b/>
                <w:bCs/>
              </w:rPr>
            </w:pPr>
            <w:r w:rsidRPr="00B04798">
              <w:rPr>
                <w:b/>
                <w:bCs/>
              </w:rPr>
              <w:t>Bundle Ranking</w:t>
            </w:r>
          </w:p>
        </w:tc>
        <w:tc>
          <w:tcPr>
            <w:tcW w:w="1267" w:type="dxa"/>
            <w:vMerge w:val="restart"/>
            <w:tcBorders>
              <w:top w:val="single" w:sz="12" w:space="0" w:color="auto"/>
              <w:left w:val="single" w:sz="12" w:space="0" w:color="auto"/>
              <w:right w:val="single" w:sz="12" w:space="0" w:color="auto"/>
            </w:tcBorders>
            <w:shd w:val="clear" w:color="auto" w:fill="419CED"/>
            <w:vAlign w:val="center"/>
            <w:hideMark/>
          </w:tcPr>
          <w:p w14:paraId="29A5C82C" w14:textId="77777777" w:rsidR="00B04798" w:rsidRPr="00B04798" w:rsidRDefault="00B04798" w:rsidP="008A402A">
            <w:pPr>
              <w:pStyle w:val="BodyTextCondensed"/>
              <w:spacing w:line="240" w:lineRule="auto"/>
              <w:jc w:val="center"/>
              <w:rPr>
                <w:b/>
                <w:bCs/>
              </w:rPr>
            </w:pPr>
            <w:r w:rsidRPr="00B04798">
              <w:rPr>
                <w:b/>
                <w:bCs/>
              </w:rPr>
              <w:t>IHACPA Reportable Flag</w:t>
            </w:r>
          </w:p>
        </w:tc>
      </w:tr>
      <w:tr w:rsidR="00B04798" w:rsidRPr="00B04798" w14:paraId="538EAD5B" w14:textId="77777777" w:rsidTr="00697A01">
        <w:trPr>
          <w:trHeight w:val="291"/>
          <w:jc w:val="center"/>
        </w:trPr>
        <w:tc>
          <w:tcPr>
            <w:tcW w:w="1545" w:type="dxa"/>
            <w:vMerge/>
            <w:tcBorders>
              <w:left w:val="single" w:sz="12" w:space="0" w:color="auto"/>
            </w:tcBorders>
            <w:vAlign w:val="center"/>
            <w:hideMark/>
          </w:tcPr>
          <w:p w14:paraId="23A68765" w14:textId="77777777" w:rsidR="00B04798" w:rsidRPr="00B04798" w:rsidRDefault="00B04798" w:rsidP="00B04798">
            <w:pPr>
              <w:pStyle w:val="BodyTextCondensed"/>
              <w:rPr>
                <w:b/>
                <w:bCs/>
              </w:rPr>
            </w:pPr>
          </w:p>
        </w:tc>
        <w:tc>
          <w:tcPr>
            <w:tcW w:w="3543" w:type="dxa"/>
            <w:gridSpan w:val="2"/>
            <w:tcBorders>
              <w:top w:val="single" w:sz="12" w:space="0" w:color="auto"/>
              <w:left w:val="single" w:sz="12" w:space="0" w:color="auto"/>
              <w:right w:val="single" w:sz="12" w:space="0" w:color="auto"/>
            </w:tcBorders>
            <w:shd w:val="clear" w:color="auto" w:fill="305496"/>
            <w:vAlign w:val="center"/>
            <w:hideMark/>
          </w:tcPr>
          <w:p w14:paraId="46A4FC4B" w14:textId="77777777" w:rsidR="00B04798" w:rsidRPr="00B04798" w:rsidRDefault="00B04798" w:rsidP="00B04798">
            <w:pPr>
              <w:pStyle w:val="BodyTextCondensed"/>
              <w:jc w:val="center"/>
              <w:rPr>
                <w:b/>
                <w:bCs/>
                <w:color w:val="FFFFFF" w:themeColor="background1"/>
              </w:rPr>
            </w:pPr>
            <w:r w:rsidRPr="00B04798">
              <w:rPr>
                <w:b/>
                <w:bCs/>
                <w:color w:val="FFFFFF" w:themeColor="background1"/>
              </w:rPr>
              <w:t>Funding Source</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F4B084"/>
            <w:vAlign w:val="center"/>
            <w:hideMark/>
          </w:tcPr>
          <w:p w14:paraId="426F917A" w14:textId="77777777" w:rsidR="00B04798" w:rsidRPr="00B04798" w:rsidRDefault="00B04798" w:rsidP="00B04798">
            <w:pPr>
              <w:pStyle w:val="BodyTextCondensed"/>
              <w:jc w:val="center"/>
              <w:rPr>
                <w:b/>
                <w:bCs/>
                <w:color w:val="FFFFFF" w:themeColor="background1"/>
              </w:rPr>
            </w:pPr>
            <w:r w:rsidRPr="00B04798">
              <w:rPr>
                <w:b/>
                <w:bCs/>
                <w:color w:val="FFFFFF" w:themeColor="background1"/>
              </w:rPr>
              <w:t>Service Delivery Mode</w:t>
            </w:r>
          </w:p>
        </w:tc>
        <w:tc>
          <w:tcPr>
            <w:tcW w:w="2693" w:type="dxa"/>
            <w:gridSpan w:val="2"/>
            <w:tcBorders>
              <w:top w:val="single" w:sz="12" w:space="0" w:color="auto"/>
              <w:left w:val="single" w:sz="12" w:space="0" w:color="auto"/>
              <w:right w:val="single" w:sz="12" w:space="0" w:color="auto"/>
            </w:tcBorders>
            <w:shd w:val="clear" w:color="auto" w:fill="68A042"/>
            <w:vAlign w:val="center"/>
            <w:hideMark/>
          </w:tcPr>
          <w:p w14:paraId="4D2CD30E" w14:textId="77777777" w:rsidR="00B04798" w:rsidRPr="00B04798" w:rsidRDefault="00B04798" w:rsidP="00B04798">
            <w:pPr>
              <w:pStyle w:val="BodyTextCondensed"/>
              <w:jc w:val="center"/>
              <w:rPr>
                <w:b/>
                <w:bCs/>
                <w:color w:val="FFFFFF" w:themeColor="background1"/>
              </w:rPr>
            </w:pPr>
            <w:r w:rsidRPr="00B04798">
              <w:rPr>
                <w:b/>
                <w:bCs/>
                <w:color w:val="FFFFFF" w:themeColor="background1"/>
              </w:rPr>
              <w:t>New/ Review</w:t>
            </w:r>
          </w:p>
        </w:tc>
        <w:tc>
          <w:tcPr>
            <w:tcW w:w="1560" w:type="dxa"/>
            <w:tcBorders>
              <w:top w:val="single" w:sz="12" w:space="0" w:color="auto"/>
              <w:left w:val="single" w:sz="12" w:space="0" w:color="auto"/>
              <w:bottom w:val="single" w:sz="12" w:space="0" w:color="auto"/>
              <w:right w:val="single" w:sz="12" w:space="0" w:color="auto"/>
            </w:tcBorders>
            <w:shd w:val="clear" w:color="auto" w:fill="A6A6A6"/>
            <w:noWrap/>
            <w:vAlign w:val="center"/>
            <w:hideMark/>
          </w:tcPr>
          <w:p w14:paraId="4BA9A2D7" w14:textId="77777777" w:rsidR="00B04798" w:rsidRPr="00B04798" w:rsidRDefault="00B04798" w:rsidP="00B04798">
            <w:pPr>
              <w:pStyle w:val="BodyTextCondensed"/>
              <w:jc w:val="center"/>
              <w:rPr>
                <w:b/>
                <w:bCs/>
                <w:color w:val="FFFFFF" w:themeColor="background1"/>
              </w:rPr>
            </w:pPr>
            <w:r w:rsidRPr="00B04798">
              <w:rPr>
                <w:b/>
                <w:bCs/>
                <w:color w:val="FFFFFF" w:themeColor="background1"/>
              </w:rPr>
              <w:t>Date and time</w:t>
            </w:r>
          </w:p>
        </w:tc>
        <w:tc>
          <w:tcPr>
            <w:tcW w:w="1001" w:type="dxa"/>
            <w:vMerge/>
            <w:tcBorders>
              <w:right w:val="single" w:sz="12" w:space="0" w:color="auto"/>
            </w:tcBorders>
            <w:vAlign w:val="center"/>
            <w:hideMark/>
          </w:tcPr>
          <w:p w14:paraId="45D8FB61" w14:textId="77777777" w:rsidR="00B04798" w:rsidRPr="00B04798" w:rsidRDefault="00B04798" w:rsidP="00B04798">
            <w:pPr>
              <w:pStyle w:val="BodyTextCondensed"/>
              <w:rPr>
                <w:b/>
                <w:bCs/>
              </w:rPr>
            </w:pPr>
          </w:p>
        </w:tc>
        <w:tc>
          <w:tcPr>
            <w:tcW w:w="1267" w:type="dxa"/>
            <w:vMerge/>
            <w:tcBorders>
              <w:left w:val="single" w:sz="12" w:space="0" w:color="auto"/>
              <w:right w:val="single" w:sz="12" w:space="0" w:color="auto"/>
            </w:tcBorders>
            <w:vAlign w:val="center"/>
            <w:hideMark/>
          </w:tcPr>
          <w:p w14:paraId="303099F2" w14:textId="77777777" w:rsidR="00B04798" w:rsidRPr="00B04798" w:rsidRDefault="00B04798" w:rsidP="00B04798">
            <w:pPr>
              <w:pStyle w:val="BodyTextCondensed"/>
              <w:rPr>
                <w:b/>
                <w:bCs/>
              </w:rPr>
            </w:pPr>
          </w:p>
        </w:tc>
      </w:tr>
      <w:tr w:rsidR="00B04798" w:rsidRPr="00B04798" w14:paraId="59CF7E29" w14:textId="77777777" w:rsidTr="008A402A">
        <w:trPr>
          <w:trHeight w:val="681"/>
          <w:jc w:val="center"/>
        </w:trPr>
        <w:tc>
          <w:tcPr>
            <w:tcW w:w="1545" w:type="dxa"/>
            <w:vMerge/>
            <w:tcBorders>
              <w:left w:val="single" w:sz="12" w:space="0" w:color="auto"/>
            </w:tcBorders>
            <w:vAlign w:val="center"/>
            <w:hideMark/>
          </w:tcPr>
          <w:p w14:paraId="239D7119" w14:textId="77777777" w:rsidR="00B04798" w:rsidRPr="00B04798" w:rsidRDefault="00B04798" w:rsidP="00B04798">
            <w:pPr>
              <w:pStyle w:val="BodyTextCondensed"/>
              <w:rPr>
                <w:b/>
                <w:bCs/>
              </w:rPr>
            </w:pPr>
          </w:p>
        </w:tc>
        <w:tc>
          <w:tcPr>
            <w:tcW w:w="2835" w:type="dxa"/>
            <w:tcBorders>
              <w:top w:val="single" w:sz="12" w:space="0" w:color="auto"/>
              <w:left w:val="single" w:sz="12" w:space="0" w:color="auto"/>
              <w:bottom w:val="single" w:sz="12" w:space="0" w:color="auto"/>
              <w:right w:val="single" w:sz="12" w:space="0" w:color="auto"/>
            </w:tcBorders>
            <w:shd w:val="clear" w:color="auto" w:fill="8EA9DB"/>
            <w:vAlign w:val="center"/>
            <w:hideMark/>
          </w:tcPr>
          <w:p w14:paraId="6739F2C5" w14:textId="3AF71ECE" w:rsidR="00B04798" w:rsidRPr="00B04798" w:rsidRDefault="00B04798" w:rsidP="008A402A">
            <w:pPr>
              <w:pStyle w:val="BodyTextCondensed"/>
              <w:spacing w:line="240" w:lineRule="auto"/>
              <w:jc w:val="center"/>
              <w:rPr>
                <w:b/>
                <w:bCs/>
              </w:rPr>
            </w:pPr>
            <w:r w:rsidRPr="00B04798">
              <w:rPr>
                <w:b/>
                <w:bCs/>
              </w:rPr>
              <w:t>Code and</w:t>
            </w:r>
            <w:r w:rsidR="008A402A">
              <w:rPr>
                <w:b/>
                <w:bCs/>
              </w:rPr>
              <w:t xml:space="preserve"> </w:t>
            </w:r>
            <w:r w:rsidRPr="00B04798">
              <w:rPr>
                <w:b/>
                <w:bCs/>
              </w:rPr>
              <w:t>Description</w:t>
            </w:r>
          </w:p>
        </w:tc>
        <w:tc>
          <w:tcPr>
            <w:tcW w:w="708" w:type="dxa"/>
            <w:tcBorders>
              <w:top w:val="single" w:sz="12" w:space="0" w:color="auto"/>
              <w:left w:val="single" w:sz="12" w:space="0" w:color="auto"/>
              <w:bottom w:val="single" w:sz="12" w:space="0" w:color="auto"/>
              <w:right w:val="single" w:sz="12" w:space="0" w:color="auto"/>
            </w:tcBorders>
            <w:shd w:val="clear" w:color="auto" w:fill="DAE5F5"/>
            <w:vAlign w:val="center"/>
            <w:hideMark/>
          </w:tcPr>
          <w:p w14:paraId="352352B3" w14:textId="77777777" w:rsidR="00B04798" w:rsidRPr="00B04798" w:rsidRDefault="00B04798" w:rsidP="008A402A">
            <w:pPr>
              <w:pStyle w:val="BodyTextCondensed"/>
              <w:spacing w:line="240" w:lineRule="auto"/>
              <w:jc w:val="center"/>
              <w:rPr>
                <w:b/>
                <w:bCs/>
              </w:rPr>
            </w:pPr>
            <w:r w:rsidRPr="00B04798">
              <w:rPr>
                <w:b/>
                <w:bCs/>
              </w:rPr>
              <w:t>Rank</w:t>
            </w:r>
          </w:p>
        </w:tc>
        <w:tc>
          <w:tcPr>
            <w:tcW w:w="1701" w:type="dxa"/>
            <w:tcBorders>
              <w:top w:val="single" w:sz="12" w:space="0" w:color="auto"/>
              <w:left w:val="single" w:sz="12" w:space="0" w:color="auto"/>
              <w:bottom w:val="single" w:sz="12" w:space="0" w:color="auto"/>
              <w:right w:val="single" w:sz="12" w:space="0" w:color="auto"/>
            </w:tcBorders>
            <w:shd w:val="clear" w:color="auto" w:fill="FFE699"/>
            <w:vAlign w:val="center"/>
            <w:hideMark/>
          </w:tcPr>
          <w:p w14:paraId="27285C6B" w14:textId="77777777" w:rsidR="00B04798" w:rsidRPr="00B04798" w:rsidRDefault="00B04798" w:rsidP="008A402A">
            <w:pPr>
              <w:pStyle w:val="BodyTextCondensed"/>
              <w:spacing w:line="240" w:lineRule="auto"/>
              <w:jc w:val="center"/>
              <w:rPr>
                <w:b/>
                <w:bCs/>
              </w:rPr>
            </w:pPr>
            <w:r w:rsidRPr="00B04798">
              <w:rPr>
                <w:b/>
                <w:bCs/>
              </w:rPr>
              <w:t>Code and</w:t>
            </w:r>
          </w:p>
          <w:p w14:paraId="526E41F9" w14:textId="77777777" w:rsidR="00B04798" w:rsidRPr="00B04798" w:rsidRDefault="00B04798" w:rsidP="008A402A">
            <w:pPr>
              <w:pStyle w:val="BodyTextCondensed"/>
              <w:spacing w:line="240" w:lineRule="auto"/>
              <w:jc w:val="center"/>
              <w:rPr>
                <w:b/>
                <w:bCs/>
              </w:rPr>
            </w:pPr>
            <w:r w:rsidRPr="00B04798">
              <w:rPr>
                <w:b/>
                <w:bCs/>
              </w:rPr>
              <w:t>Description</w:t>
            </w:r>
          </w:p>
        </w:tc>
        <w:tc>
          <w:tcPr>
            <w:tcW w:w="709" w:type="dxa"/>
            <w:tcBorders>
              <w:top w:val="single" w:sz="12" w:space="0" w:color="auto"/>
              <w:left w:val="single" w:sz="12" w:space="0" w:color="auto"/>
              <w:bottom w:val="single" w:sz="12" w:space="0" w:color="auto"/>
              <w:right w:val="single" w:sz="12" w:space="0" w:color="auto"/>
            </w:tcBorders>
            <w:shd w:val="clear" w:color="auto" w:fill="FFF2CC"/>
            <w:vAlign w:val="center"/>
            <w:hideMark/>
          </w:tcPr>
          <w:p w14:paraId="6AE5C3C6" w14:textId="77777777" w:rsidR="00B04798" w:rsidRPr="00B04798" w:rsidRDefault="00B04798" w:rsidP="008A402A">
            <w:pPr>
              <w:pStyle w:val="BodyTextCondensed"/>
              <w:spacing w:line="240" w:lineRule="auto"/>
              <w:jc w:val="center"/>
              <w:rPr>
                <w:b/>
                <w:bCs/>
              </w:rPr>
            </w:pPr>
            <w:r w:rsidRPr="00B04798">
              <w:rPr>
                <w:b/>
                <w:bCs/>
              </w:rPr>
              <w:t>Rank</w:t>
            </w:r>
          </w:p>
        </w:tc>
        <w:tc>
          <w:tcPr>
            <w:tcW w:w="1418" w:type="dxa"/>
            <w:tcBorders>
              <w:top w:val="single" w:sz="12" w:space="0" w:color="auto"/>
              <w:left w:val="single" w:sz="12" w:space="0" w:color="auto"/>
              <w:bottom w:val="single" w:sz="12" w:space="0" w:color="auto"/>
              <w:right w:val="single" w:sz="12" w:space="0" w:color="auto"/>
            </w:tcBorders>
            <w:shd w:val="clear" w:color="auto" w:fill="A9D08E"/>
            <w:vAlign w:val="center"/>
            <w:hideMark/>
          </w:tcPr>
          <w:p w14:paraId="0B94665D" w14:textId="77777777" w:rsidR="00B04798" w:rsidRPr="00B04798" w:rsidRDefault="00B04798" w:rsidP="008A402A">
            <w:pPr>
              <w:pStyle w:val="BodyTextCondensed"/>
              <w:spacing w:line="240" w:lineRule="auto"/>
              <w:jc w:val="center"/>
              <w:rPr>
                <w:b/>
                <w:bCs/>
              </w:rPr>
            </w:pPr>
            <w:r w:rsidRPr="00B04798">
              <w:rPr>
                <w:b/>
                <w:bCs/>
              </w:rPr>
              <w:t>Code and</w:t>
            </w:r>
          </w:p>
          <w:p w14:paraId="5727B2C2" w14:textId="77777777" w:rsidR="00B04798" w:rsidRPr="00B04798" w:rsidRDefault="00B04798" w:rsidP="008A402A">
            <w:pPr>
              <w:pStyle w:val="BodyTextCondensed"/>
              <w:spacing w:line="240" w:lineRule="auto"/>
              <w:jc w:val="center"/>
              <w:rPr>
                <w:b/>
                <w:bCs/>
              </w:rPr>
            </w:pPr>
            <w:r w:rsidRPr="00B04798">
              <w:rPr>
                <w:b/>
                <w:bCs/>
              </w:rPr>
              <w:t>Description</w:t>
            </w:r>
          </w:p>
        </w:tc>
        <w:tc>
          <w:tcPr>
            <w:tcW w:w="1275" w:type="dxa"/>
            <w:tcBorders>
              <w:top w:val="single" w:sz="12" w:space="0" w:color="auto"/>
              <w:left w:val="single" w:sz="12" w:space="0" w:color="auto"/>
              <w:bottom w:val="single" w:sz="12" w:space="0" w:color="auto"/>
              <w:right w:val="single" w:sz="12" w:space="0" w:color="auto"/>
            </w:tcBorders>
            <w:shd w:val="clear" w:color="auto" w:fill="ECF5E7"/>
            <w:vAlign w:val="center"/>
            <w:hideMark/>
          </w:tcPr>
          <w:p w14:paraId="2901A66D" w14:textId="77777777" w:rsidR="00B04798" w:rsidRPr="00B04798" w:rsidRDefault="00B04798" w:rsidP="008A402A">
            <w:pPr>
              <w:pStyle w:val="BodyTextCondensed"/>
              <w:spacing w:line="240" w:lineRule="auto"/>
              <w:jc w:val="center"/>
              <w:rPr>
                <w:b/>
                <w:bCs/>
              </w:rPr>
            </w:pPr>
            <w:r w:rsidRPr="00B04798">
              <w:rPr>
                <w:b/>
                <w:bCs/>
              </w:rPr>
              <w:t>Rank</w:t>
            </w:r>
          </w:p>
        </w:tc>
        <w:tc>
          <w:tcPr>
            <w:tcW w:w="1560" w:type="dxa"/>
            <w:tcBorders>
              <w:top w:val="single" w:sz="12" w:space="0" w:color="auto"/>
              <w:left w:val="single" w:sz="12" w:space="0" w:color="auto"/>
              <w:bottom w:val="single" w:sz="12" w:space="0" w:color="auto"/>
              <w:right w:val="single" w:sz="12" w:space="0" w:color="auto"/>
            </w:tcBorders>
            <w:shd w:val="clear" w:color="auto" w:fill="D0CECE"/>
            <w:vAlign w:val="center"/>
            <w:hideMark/>
          </w:tcPr>
          <w:p w14:paraId="3F5A774B" w14:textId="77777777" w:rsidR="00B04798" w:rsidRPr="00B04798" w:rsidRDefault="00B04798" w:rsidP="008A402A">
            <w:pPr>
              <w:pStyle w:val="BodyTextCondensed"/>
              <w:spacing w:line="240" w:lineRule="auto"/>
              <w:jc w:val="center"/>
              <w:rPr>
                <w:b/>
                <w:bCs/>
              </w:rPr>
            </w:pPr>
            <w:r w:rsidRPr="00B04798">
              <w:rPr>
                <w:b/>
                <w:bCs/>
              </w:rPr>
              <w:t>Date and time</w:t>
            </w:r>
          </w:p>
        </w:tc>
        <w:tc>
          <w:tcPr>
            <w:tcW w:w="1001" w:type="dxa"/>
            <w:vMerge/>
            <w:tcBorders>
              <w:right w:val="single" w:sz="12" w:space="0" w:color="auto"/>
            </w:tcBorders>
            <w:vAlign w:val="center"/>
            <w:hideMark/>
          </w:tcPr>
          <w:p w14:paraId="0C9F4DF8" w14:textId="77777777" w:rsidR="00B04798" w:rsidRPr="00B04798" w:rsidRDefault="00B04798" w:rsidP="00B04798">
            <w:pPr>
              <w:pStyle w:val="BodyTextCondensed"/>
              <w:rPr>
                <w:b/>
                <w:bCs/>
              </w:rPr>
            </w:pPr>
          </w:p>
        </w:tc>
        <w:tc>
          <w:tcPr>
            <w:tcW w:w="1267" w:type="dxa"/>
            <w:vMerge/>
            <w:tcBorders>
              <w:left w:val="single" w:sz="12" w:space="0" w:color="auto"/>
              <w:right w:val="single" w:sz="12" w:space="0" w:color="auto"/>
            </w:tcBorders>
            <w:vAlign w:val="center"/>
            <w:hideMark/>
          </w:tcPr>
          <w:p w14:paraId="567ECEC7" w14:textId="77777777" w:rsidR="00B04798" w:rsidRPr="00B04798" w:rsidRDefault="00B04798" w:rsidP="00B04798">
            <w:pPr>
              <w:pStyle w:val="BodyTextCondensed"/>
              <w:rPr>
                <w:b/>
                <w:bCs/>
              </w:rPr>
            </w:pPr>
          </w:p>
        </w:tc>
      </w:tr>
      <w:tr w:rsidR="00B04798" w:rsidRPr="00B04798" w14:paraId="087476BF" w14:textId="77777777" w:rsidTr="00697A01">
        <w:trPr>
          <w:trHeight w:val="660"/>
          <w:jc w:val="center"/>
        </w:trPr>
        <w:tc>
          <w:tcPr>
            <w:tcW w:w="1545" w:type="dxa"/>
            <w:tcBorders>
              <w:top w:val="single" w:sz="12" w:space="0" w:color="auto"/>
              <w:left w:val="single" w:sz="12" w:space="0" w:color="auto"/>
              <w:bottom w:val="single" w:sz="12" w:space="0" w:color="auto"/>
              <w:right w:val="single" w:sz="12" w:space="0" w:color="auto"/>
            </w:tcBorders>
            <w:noWrap/>
            <w:vAlign w:val="center"/>
            <w:hideMark/>
          </w:tcPr>
          <w:p w14:paraId="0827CAE2" w14:textId="77777777" w:rsidR="00B04798" w:rsidRPr="00B04798" w:rsidRDefault="00B04798" w:rsidP="00B04798">
            <w:pPr>
              <w:pStyle w:val="BodyTextCondensed"/>
              <w:jc w:val="center"/>
            </w:pPr>
            <w:r w:rsidRPr="00B04798">
              <w:t>1</w:t>
            </w:r>
          </w:p>
        </w:tc>
        <w:tc>
          <w:tcPr>
            <w:tcW w:w="2835" w:type="dxa"/>
            <w:tcBorders>
              <w:top w:val="single" w:sz="12" w:space="0" w:color="auto"/>
              <w:left w:val="single" w:sz="12" w:space="0" w:color="auto"/>
              <w:bottom w:val="single" w:sz="12" w:space="0" w:color="auto"/>
            </w:tcBorders>
            <w:vAlign w:val="center"/>
            <w:hideMark/>
          </w:tcPr>
          <w:p w14:paraId="799EE75C" w14:textId="77777777" w:rsidR="00B04798" w:rsidRPr="00B04798" w:rsidRDefault="00B04798" w:rsidP="00B04798">
            <w:pPr>
              <w:pStyle w:val="BodyTextCondensed"/>
            </w:pPr>
            <w:r w:rsidRPr="00B04798">
              <w:t>‘14’ – Medicare Benefits Scheme</w:t>
            </w:r>
          </w:p>
        </w:tc>
        <w:tc>
          <w:tcPr>
            <w:tcW w:w="708" w:type="dxa"/>
            <w:tcBorders>
              <w:top w:val="single" w:sz="12" w:space="0" w:color="auto"/>
              <w:bottom w:val="single" w:sz="12" w:space="0" w:color="auto"/>
              <w:right w:val="single" w:sz="12" w:space="0" w:color="auto"/>
            </w:tcBorders>
            <w:vAlign w:val="center"/>
            <w:hideMark/>
          </w:tcPr>
          <w:p w14:paraId="601EBB84" w14:textId="77777777" w:rsidR="00B04798" w:rsidRPr="00B04798" w:rsidRDefault="00B04798" w:rsidP="00B04798">
            <w:pPr>
              <w:pStyle w:val="BodyTextCondensed"/>
              <w:jc w:val="center"/>
            </w:pPr>
            <w:r w:rsidRPr="00B04798">
              <w:t>1</w:t>
            </w:r>
          </w:p>
        </w:tc>
        <w:tc>
          <w:tcPr>
            <w:tcW w:w="1701" w:type="dxa"/>
            <w:tcBorders>
              <w:top w:val="single" w:sz="12" w:space="0" w:color="auto"/>
              <w:left w:val="single" w:sz="12" w:space="0" w:color="auto"/>
              <w:bottom w:val="single" w:sz="12" w:space="0" w:color="auto"/>
            </w:tcBorders>
            <w:shd w:val="clear" w:color="auto" w:fill="D9D9D9"/>
            <w:vAlign w:val="center"/>
          </w:tcPr>
          <w:p w14:paraId="160CA3FA" w14:textId="77777777" w:rsidR="00B04798" w:rsidRPr="00B04798" w:rsidRDefault="00B04798" w:rsidP="00B04798">
            <w:pPr>
              <w:pStyle w:val="BodyTextCondensed"/>
            </w:pPr>
          </w:p>
        </w:tc>
        <w:tc>
          <w:tcPr>
            <w:tcW w:w="709" w:type="dxa"/>
            <w:tcBorders>
              <w:top w:val="single" w:sz="12" w:space="0" w:color="auto"/>
              <w:bottom w:val="single" w:sz="12" w:space="0" w:color="auto"/>
              <w:right w:val="single" w:sz="12" w:space="0" w:color="auto"/>
            </w:tcBorders>
            <w:shd w:val="clear" w:color="auto" w:fill="D9D9D9"/>
            <w:vAlign w:val="center"/>
          </w:tcPr>
          <w:p w14:paraId="7DFB6C4F" w14:textId="77777777" w:rsidR="00B04798" w:rsidRPr="00B04798" w:rsidRDefault="00B04798" w:rsidP="00B04798">
            <w:pPr>
              <w:pStyle w:val="BodyTextCondensed"/>
            </w:pPr>
          </w:p>
        </w:tc>
        <w:tc>
          <w:tcPr>
            <w:tcW w:w="1418" w:type="dxa"/>
            <w:tcBorders>
              <w:top w:val="single" w:sz="12" w:space="0" w:color="auto"/>
              <w:left w:val="single" w:sz="12" w:space="0" w:color="auto"/>
              <w:bottom w:val="single" w:sz="12" w:space="0" w:color="auto"/>
            </w:tcBorders>
            <w:shd w:val="clear" w:color="auto" w:fill="D9D9D9"/>
            <w:noWrap/>
            <w:vAlign w:val="bottom"/>
          </w:tcPr>
          <w:p w14:paraId="3176FF46" w14:textId="77777777" w:rsidR="00B04798" w:rsidRPr="00B04798" w:rsidRDefault="00B04798" w:rsidP="00B04798">
            <w:pPr>
              <w:pStyle w:val="BodyTextCondensed"/>
            </w:pPr>
          </w:p>
        </w:tc>
        <w:tc>
          <w:tcPr>
            <w:tcW w:w="1275" w:type="dxa"/>
            <w:tcBorders>
              <w:top w:val="single" w:sz="12" w:space="0" w:color="auto"/>
              <w:bottom w:val="single" w:sz="12" w:space="0" w:color="auto"/>
              <w:right w:val="single" w:sz="12" w:space="0" w:color="auto"/>
            </w:tcBorders>
            <w:shd w:val="clear" w:color="auto" w:fill="D9D9D9"/>
            <w:noWrap/>
            <w:vAlign w:val="bottom"/>
          </w:tcPr>
          <w:p w14:paraId="3D2BDB8C" w14:textId="77777777" w:rsidR="00B04798" w:rsidRPr="00B04798" w:rsidRDefault="00B04798" w:rsidP="00B04798">
            <w:pPr>
              <w:pStyle w:val="BodyTextCondensed"/>
            </w:pPr>
          </w:p>
        </w:tc>
        <w:tc>
          <w:tcPr>
            <w:tcW w:w="1560" w:type="dxa"/>
            <w:tcBorders>
              <w:top w:val="single" w:sz="12" w:space="0" w:color="auto"/>
              <w:left w:val="single" w:sz="12" w:space="0" w:color="auto"/>
              <w:bottom w:val="single" w:sz="12" w:space="0" w:color="auto"/>
              <w:right w:val="single" w:sz="12" w:space="0" w:color="auto"/>
            </w:tcBorders>
            <w:shd w:val="clear" w:color="auto" w:fill="D9D9D9"/>
            <w:noWrap/>
            <w:vAlign w:val="bottom"/>
          </w:tcPr>
          <w:p w14:paraId="56926FC3" w14:textId="77777777" w:rsidR="00B04798" w:rsidRPr="00B04798" w:rsidRDefault="00B04798" w:rsidP="00B04798">
            <w:pPr>
              <w:pStyle w:val="BodyTextCondensed"/>
            </w:pPr>
          </w:p>
        </w:tc>
        <w:tc>
          <w:tcPr>
            <w:tcW w:w="1001" w:type="dxa"/>
            <w:tcBorders>
              <w:top w:val="single" w:sz="12" w:space="0" w:color="auto"/>
              <w:left w:val="single" w:sz="12" w:space="0" w:color="auto"/>
              <w:bottom w:val="single" w:sz="12" w:space="0" w:color="auto"/>
              <w:right w:val="single" w:sz="12" w:space="0" w:color="auto"/>
            </w:tcBorders>
            <w:vAlign w:val="center"/>
            <w:hideMark/>
          </w:tcPr>
          <w:p w14:paraId="4AD666E1" w14:textId="77777777" w:rsidR="00B04798" w:rsidRPr="00B04798" w:rsidRDefault="00B04798" w:rsidP="00B04798">
            <w:pPr>
              <w:pStyle w:val="BodyTextCondensed"/>
              <w:jc w:val="center"/>
            </w:pPr>
            <w:r w:rsidRPr="00B04798">
              <w:t>1</w:t>
            </w:r>
          </w:p>
        </w:tc>
        <w:tc>
          <w:tcPr>
            <w:tcW w:w="1267" w:type="dxa"/>
            <w:tcBorders>
              <w:top w:val="single" w:sz="12" w:space="0" w:color="auto"/>
              <w:left w:val="single" w:sz="12" w:space="0" w:color="auto"/>
              <w:bottom w:val="single" w:sz="12" w:space="0" w:color="auto"/>
              <w:right w:val="single" w:sz="12" w:space="0" w:color="auto"/>
            </w:tcBorders>
            <w:vAlign w:val="center"/>
            <w:hideMark/>
          </w:tcPr>
          <w:p w14:paraId="1E3593D1" w14:textId="77777777" w:rsidR="00B04798" w:rsidRPr="00B04798" w:rsidRDefault="00B04798" w:rsidP="00B04798">
            <w:pPr>
              <w:pStyle w:val="BodyTextCondensed"/>
              <w:jc w:val="center"/>
            </w:pPr>
            <w:r w:rsidRPr="00B04798">
              <w:t>Y</w:t>
            </w:r>
          </w:p>
        </w:tc>
      </w:tr>
      <w:tr w:rsidR="00B04798" w:rsidRPr="00B04798" w14:paraId="26FEEED2" w14:textId="77777777" w:rsidTr="00F12C32">
        <w:trPr>
          <w:trHeight w:val="651"/>
          <w:jc w:val="center"/>
        </w:trPr>
        <w:tc>
          <w:tcPr>
            <w:tcW w:w="1545" w:type="dxa"/>
            <w:tcBorders>
              <w:top w:val="single" w:sz="12" w:space="0" w:color="auto"/>
              <w:left w:val="single" w:sz="12" w:space="0" w:color="auto"/>
              <w:right w:val="single" w:sz="12" w:space="0" w:color="auto"/>
            </w:tcBorders>
            <w:noWrap/>
            <w:vAlign w:val="center"/>
            <w:hideMark/>
          </w:tcPr>
          <w:p w14:paraId="76FC2B3D" w14:textId="77777777" w:rsidR="00B04798" w:rsidRPr="00B04798" w:rsidRDefault="00B04798" w:rsidP="00B04798">
            <w:pPr>
              <w:pStyle w:val="BodyTextCondensed"/>
              <w:jc w:val="center"/>
            </w:pPr>
            <w:r w:rsidRPr="00B04798">
              <w:t>2</w:t>
            </w:r>
          </w:p>
        </w:tc>
        <w:tc>
          <w:tcPr>
            <w:tcW w:w="2835" w:type="dxa"/>
            <w:tcBorders>
              <w:top w:val="single" w:sz="12" w:space="0" w:color="auto"/>
              <w:left w:val="single" w:sz="12" w:space="0" w:color="auto"/>
            </w:tcBorders>
            <w:vAlign w:val="center"/>
            <w:hideMark/>
          </w:tcPr>
          <w:p w14:paraId="4313C9A8" w14:textId="77777777" w:rsidR="00B04798" w:rsidRPr="00B04798" w:rsidRDefault="00B04798" w:rsidP="00B04798">
            <w:pPr>
              <w:pStyle w:val="BodyTextCondensed"/>
            </w:pPr>
            <w:r w:rsidRPr="00B04798">
              <w:t>‘01’ – Health service budget (not covered elsewhere)</w:t>
            </w:r>
          </w:p>
        </w:tc>
        <w:tc>
          <w:tcPr>
            <w:tcW w:w="708" w:type="dxa"/>
            <w:tcBorders>
              <w:top w:val="single" w:sz="12" w:space="0" w:color="auto"/>
              <w:right w:val="single" w:sz="12" w:space="0" w:color="auto"/>
            </w:tcBorders>
            <w:vAlign w:val="center"/>
            <w:hideMark/>
          </w:tcPr>
          <w:p w14:paraId="692C0DAB" w14:textId="77777777" w:rsidR="00B04798" w:rsidRPr="00B04798" w:rsidRDefault="00B04798" w:rsidP="00B04798">
            <w:pPr>
              <w:pStyle w:val="BodyTextCondensed"/>
              <w:jc w:val="center"/>
            </w:pPr>
            <w:r w:rsidRPr="00B04798">
              <w:t>2</w:t>
            </w:r>
          </w:p>
        </w:tc>
        <w:tc>
          <w:tcPr>
            <w:tcW w:w="1701" w:type="dxa"/>
            <w:tcBorders>
              <w:top w:val="single" w:sz="12" w:space="0" w:color="auto"/>
              <w:left w:val="single" w:sz="12" w:space="0" w:color="auto"/>
            </w:tcBorders>
            <w:shd w:val="clear" w:color="auto" w:fill="D9D9D9"/>
            <w:vAlign w:val="center"/>
          </w:tcPr>
          <w:p w14:paraId="5A153894" w14:textId="77777777" w:rsidR="00B04798" w:rsidRPr="00B04798" w:rsidRDefault="00B04798" w:rsidP="00B04798">
            <w:pPr>
              <w:pStyle w:val="BodyTextCondensed"/>
            </w:pPr>
          </w:p>
        </w:tc>
        <w:tc>
          <w:tcPr>
            <w:tcW w:w="709" w:type="dxa"/>
            <w:tcBorders>
              <w:top w:val="single" w:sz="12" w:space="0" w:color="auto"/>
              <w:right w:val="single" w:sz="12" w:space="0" w:color="auto"/>
            </w:tcBorders>
            <w:shd w:val="clear" w:color="auto" w:fill="D9D9D9"/>
            <w:vAlign w:val="center"/>
          </w:tcPr>
          <w:p w14:paraId="7B286F56" w14:textId="77777777" w:rsidR="00B04798" w:rsidRPr="00B04798" w:rsidRDefault="00B04798" w:rsidP="00B04798">
            <w:pPr>
              <w:pStyle w:val="BodyTextCondensed"/>
            </w:pPr>
          </w:p>
        </w:tc>
        <w:tc>
          <w:tcPr>
            <w:tcW w:w="1418" w:type="dxa"/>
            <w:tcBorders>
              <w:top w:val="single" w:sz="12" w:space="0" w:color="auto"/>
              <w:left w:val="single" w:sz="12" w:space="0" w:color="auto"/>
            </w:tcBorders>
            <w:shd w:val="clear" w:color="auto" w:fill="D9D9D9"/>
            <w:noWrap/>
            <w:vAlign w:val="bottom"/>
          </w:tcPr>
          <w:p w14:paraId="594433D2" w14:textId="77777777" w:rsidR="00B04798" w:rsidRPr="00B04798" w:rsidRDefault="00B04798" w:rsidP="00B04798">
            <w:pPr>
              <w:pStyle w:val="BodyTextCondensed"/>
            </w:pPr>
          </w:p>
        </w:tc>
        <w:tc>
          <w:tcPr>
            <w:tcW w:w="1275" w:type="dxa"/>
            <w:tcBorders>
              <w:top w:val="single" w:sz="12" w:space="0" w:color="auto"/>
              <w:right w:val="single" w:sz="12" w:space="0" w:color="auto"/>
            </w:tcBorders>
            <w:shd w:val="clear" w:color="auto" w:fill="D9D9D9"/>
            <w:noWrap/>
            <w:vAlign w:val="bottom"/>
          </w:tcPr>
          <w:p w14:paraId="2884E99D" w14:textId="77777777" w:rsidR="00B04798" w:rsidRPr="00B04798" w:rsidRDefault="00B04798" w:rsidP="00B04798">
            <w:pPr>
              <w:pStyle w:val="BodyTextCondensed"/>
            </w:pPr>
          </w:p>
        </w:tc>
        <w:tc>
          <w:tcPr>
            <w:tcW w:w="1560" w:type="dxa"/>
            <w:tcBorders>
              <w:top w:val="single" w:sz="12" w:space="0" w:color="auto"/>
              <w:left w:val="single" w:sz="12" w:space="0" w:color="auto"/>
              <w:right w:val="single" w:sz="12" w:space="0" w:color="auto"/>
            </w:tcBorders>
            <w:shd w:val="clear" w:color="auto" w:fill="D9D9D9"/>
            <w:noWrap/>
            <w:vAlign w:val="bottom"/>
          </w:tcPr>
          <w:p w14:paraId="0E02FC36" w14:textId="77777777" w:rsidR="00B04798" w:rsidRPr="00B04798" w:rsidRDefault="00B04798" w:rsidP="00B04798">
            <w:pPr>
              <w:pStyle w:val="BodyTextCondensed"/>
            </w:pPr>
          </w:p>
        </w:tc>
        <w:tc>
          <w:tcPr>
            <w:tcW w:w="1001" w:type="dxa"/>
            <w:tcBorders>
              <w:top w:val="single" w:sz="12" w:space="0" w:color="auto"/>
              <w:left w:val="single" w:sz="12" w:space="0" w:color="auto"/>
              <w:right w:val="single" w:sz="12" w:space="0" w:color="auto"/>
            </w:tcBorders>
            <w:vAlign w:val="center"/>
            <w:hideMark/>
          </w:tcPr>
          <w:p w14:paraId="239264BB" w14:textId="77777777" w:rsidR="00B04798" w:rsidRPr="00B04798" w:rsidRDefault="00B04798" w:rsidP="00B04798">
            <w:pPr>
              <w:pStyle w:val="BodyTextCondensed"/>
              <w:jc w:val="center"/>
            </w:pPr>
            <w:r w:rsidRPr="00B04798">
              <w:t>2</w:t>
            </w:r>
          </w:p>
        </w:tc>
        <w:tc>
          <w:tcPr>
            <w:tcW w:w="1267" w:type="dxa"/>
            <w:tcBorders>
              <w:top w:val="single" w:sz="12" w:space="0" w:color="auto"/>
              <w:left w:val="single" w:sz="12" w:space="0" w:color="auto"/>
              <w:right w:val="single" w:sz="12" w:space="0" w:color="auto"/>
            </w:tcBorders>
            <w:vAlign w:val="center"/>
            <w:hideMark/>
          </w:tcPr>
          <w:p w14:paraId="422F2DDA" w14:textId="77777777" w:rsidR="00B04798" w:rsidRPr="00B04798" w:rsidRDefault="00B04798" w:rsidP="00B04798">
            <w:pPr>
              <w:pStyle w:val="BodyTextCondensed"/>
              <w:jc w:val="center"/>
            </w:pPr>
            <w:r w:rsidRPr="00B04798">
              <w:t>N</w:t>
            </w:r>
          </w:p>
        </w:tc>
      </w:tr>
      <w:tr w:rsidR="00B04798" w:rsidRPr="00B04798" w14:paraId="3945F116" w14:textId="77777777" w:rsidTr="00697A01">
        <w:trPr>
          <w:trHeight w:val="660"/>
          <w:jc w:val="center"/>
        </w:trPr>
        <w:tc>
          <w:tcPr>
            <w:tcW w:w="1545" w:type="dxa"/>
            <w:tcBorders>
              <w:left w:val="single" w:sz="12" w:space="0" w:color="auto"/>
              <w:right w:val="single" w:sz="12" w:space="0" w:color="auto"/>
            </w:tcBorders>
            <w:noWrap/>
            <w:vAlign w:val="center"/>
            <w:hideMark/>
          </w:tcPr>
          <w:p w14:paraId="1D1CB3FA" w14:textId="77777777" w:rsidR="00B04798" w:rsidRPr="00B04798" w:rsidRDefault="00B04798" w:rsidP="00B04798">
            <w:pPr>
              <w:pStyle w:val="BodyTextCondensed"/>
              <w:jc w:val="center"/>
            </w:pPr>
            <w:r w:rsidRPr="00B04798">
              <w:t>1</w:t>
            </w:r>
          </w:p>
        </w:tc>
        <w:tc>
          <w:tcPr>
            <w:tcW w:w="2835" w:type="dxa"/>
            <w:tcBorders>
              <w:left w:val="single" w:sz="12" w:space="0" w:color="auto"/>
            </w:tcBorders>
            <w:vAlign w:val="center"/>
            <w:hideMark/>
          </w:tcPr>
          <w:p w14:paraId="71312E72" w14:textId="77777777" w:rsidR="00B04798" w:rsidRPr="00B04798" w:rsidRDefault="00B04798" w:rsidP="00B04798">
            <w:pPr>
              <w:pStyle w:val="BodyTextCondensed"/>
            </w:pPr>
            <w:r w:rsidRPr="00B04798">
              <w:t>‘01’ – Health service budget (not covered elsewhere)</w:t>
            </w:r>
          </w:p>
        </w:tc>
        <w:tc>
          <w:tcPr>
            <w:tcW w:w="708" w:type="dxa"/>
            <w:tcBorders>
              <w:right w:val="single" w:sz="12" w:space="0" w:color="auto"/>
            </w:tcBorders>
            <w:vAlign w:val="center"/>
            <w:hideMark/>
          </w:tcPr>
          <w:p w14:paraId="06CFC733" w14:textId="77777777" w:rsidR="00B04798" w:rsidRPr="00B04798" w:rsidRDefault="00B04798" w:rsidP="00B04798">
            <w:pPr>
              <w:pStyle w:val="BodyTextCondensed"/>
              <w:jc w:val="center"/>
            </w:pPr>
            <w:r w:rsidRPr="00B04798">
              <w:t>1</w:t>
            </w:r>
          </w:p>
        </w:tc>
        <w:tc>
          <w:tcPr>
            <w:tcW w:w="1701" w:type="dxa"/>
            <w:tcBorders>
              <w:left w:val="single" w:sz="12" w:space="0" w:color="auto"/>
            </w:tcBorders>
            <w:vAlign w:val="center"/>
            <w:hideMark/>
          </w:tcPr>
          <w:p w14:paraId="6C19A5B3" w14:textId="77777777" w:rsidR="00B04798" w:rsidRPr="00B04798" w:rsidRDefault="00B04798" w:rsidP="00B04798">
            <w:pPr>
              <w:pStyle w:val="BodyTextCondensed"/>
            </w:pPr>
            <w:r w:rsidRPr="00B04798">
              <w:t>‘11’ – Telehealth provider</w:t>
            </w:r>
          </w:p>
        </w:tc>
        <w:tc>
          <w:tcPr>
            <w:tcW w:w="709" w:type="dxa"/>
            <w:tcBorders>
              <w:right w:val="single" w:sz="12" w:space="0" w:color="auto"/>
            </w:tcBorders>
            <w:vAlign w:val="center"/>
            <w:hideMark/>
          </w:tcPr>
          <w:p w14:paraId="2EF6AA61" w14:textId="77777777" w:rsidR="00B04798" w:rsidRPr="00B04798" w:rsidRDefault="00B04798" w:rsidP="00B04798">
            <w:pPr>
              <w:pStyle w:val="BodyTextCondensed"/>
              <w:jc w:val="center"/>
            </w:pPr>
            <w:r w:rsidRPr="00B04798">
              <w:t>1</w:t>
            </w:r>
          </w:p>
        </w:tc>
        <w:tc>
          <w:tcPr>
            <w:tcW w:w="1418" w:type="dxa"/>
            <w:tcBorders>
              <w:left w:val="single" w:sz="12" w:space="0" w:color="auto"/>
            </w:tcBorders>
            <w:shd w:val="clear" w:color="auto" w:fill="D9D9D9"/>
            <w:noWrap/>
            <w:vAlign w:val="bottom"/>
            <w:hideMark/>
          </w:tcPr>
          <w:p w14:paraId="569A39A9" w14:textId="3F7303F9" w:rsidR="00B04798" w:rsidRPr="00B04798" w:rsidRDefault="00B04798" w:rsidP="00697A01">
            <w:pPr>
              <w:pStyle w:val="BodyTextCondensed"/>
            </w:pPr>
          </w:p>
        </w:tc>
        <w:tc>
          <w:tcPr>
            <w:tcW w:w="1275" w:type="dxa"/>
            <w:tcBorders>
              <w:right w:val="single" w:sz="12" w:space="0" w:color="auto"/>
            </w:tcBorders>
            <w:shd w:val="clear" w:color="auto" w:fill="D9D9D9"/>
            <w:noWrap/>
            <w:vAlign w:val="bottom"/>
            <w:hideMark/>
          </w:tcPr>
          <w:p w14:paraId="75A2E694" w14:textId="3A6C2EF0" w:rsidR="00B04798" w:rsidRPr="00B04798" w:rsidRDefault="00B04798" w:rsidP="00B04798">
            <w:pPr>
              <w:pStyle w:val="BodyTextCondensed"/>
            </w:pPr>
          </w:p>
        </w:tc>
        <w:tc>
          <w:tcPr>
            <w:tcW w:w="1560" w:type="dxa"/>
            <w:tcBorders>
              <w:left w:val="single" w:sz="12" w:space="0" w:color="auto"/>
              <w:right w:val="single" w:sz="12" w:space="0" w:color="auto"/>
            </w:tcBorders>
            <w:shd w:val="clear" w:color="auto" w:fill="D9D9D9"/>
            <w:noWrap/>
            <w:vAlign w:val="bottom"/>
            <w:hideMark/>
          </w:tcPr>
          <w:p w14:paraId="0574A1F9" w14:textId="635191F7" w:rsidR="00B04798" w:rsidRPr="00B04798" w:rsidRDefault="00B04798" w:rsidP="00B04798">
            <w:pPr>
              <w:pStyle w:val="BodyTextCondensed"/>
            </w:pPr>
          </w:p>
        </w:tc>
        <w:tc>
          <w:tcPr>
            <w:tcW w:w="1001" w:type="dxa"/>
            <w:tcBorders>
              <w:left w:val="single" w:sz="12" w:space="0" w:color="auto"/>
              <w:right w:val="single" w:sz="12" w:space="0" w:color="auto"/>
            </w:tcBorders>
            <w:vAlign w:val="center"/>
            <w:hideMark/>
          </w:tcPr>
          <w:p w14:paraId="667677A4" w14:textId="77777777" w:rsidR="00B04798" w:rsidRPr="00B04798" w:rsidRDefault="00B04798" w:rsidP="00B04798">
            <w:pPr>
              <w:pStyle w:val="BodyTextCondensed"/>
              <w:jc w:val="center"/>
            </w:pPr>
            <w:r w:rsidRPr="00B04798">
              <w:t>1</w:t>
            </w:r>
          </w:p>
        </w:tc>
        <w:tc>
          <w:tcPr>
            <w:tcW w:w="1267" w:type="dxa"/>
            <w:tcBorders>
              <w:left w:val="single" w:sz="12" w:space="0" w:color="auto"/>
              <w:right w:val="single" w:sz="12" w:space="0" w:color="auto"/>
            </w:tcBorders>
            <w:vAlign w:val="center"/>
            <w:hideMark/>
          </w:tcPr>
          <w:p w14:paraId="69D8B288" w14:textId="77777777" w:rsidR="00B04798" w:rsidRPr="00B04798" w:rsidRDefault="00B04798" w:rsidP="00B04798">
            <w:pPr>
              <w:pStyle w:val="BodyTextCondensed"/>
              <w:jc w:val="center"/>
            </w:pPr>
            <w:r w:rsidRPr="00B04798">
              <w:t>Y</w:t>
            </w:r>
          </w:p>
        </w:tc>
      </w:tr>
      <w:tr w:rsidR="00B04798" w:rsidRPr="00B04798" w14:paraId="352C8D9E" w14:textId="77777777" w:rsidTr="00697A01">
        <w:trPr>
          <w:trHeight w:val="660"/>
          <w:jc w:val="center"/>
        </w:trPr>
        <w:tc>
          <w:tcPr>
            <w:tcW w:w="1545" w:type="dxa"/>
            <w:tcBorders>
              <w:left w:val="single" w:sz="12" w:space="0" w:color="auto"/>
              <w:bottom w:val="single" w:sz="12" w:space="0" w:color="auto"/>
              <w:right w:val="single" w:sz="12" w:space="0" w:color="auto"/>
            </w:tcBorders>
            <w:noWrap/>
            <w:vAlign w:val="center"/>
            <w:hideMark/>
          </w:tcPr>
          <w:p w14:paraId="4B3E9F20" w14:textId="77777777" w:rsidR="00B04798" w:rsidRPr="00B04798" w:rsidRDefault="00B04798" w:rsidP="00B04798">
            <w:pPr>
              <w:pStyle w:val="BodyTextCondensed"/>
              <w:jc w:val="center"/>
            </w:pPr>
            <w:r w:rsidRPr="00B04798">
              <w:t>2</w:t>
            </w:r>
          </w:p>
        </w:tc>
        <w:tc>
          <w:tcPr>
            <w:tcW w:w="2835" w:type="dxa"/>
            <w:tcBorders>
              <w:left w:val="single" w:sz="12" w:space="0" w:color="auto"/>
              <w:bottom w:val="single" w:sz="12" w:space="0" w:color="auto"/>
            </w:tcBorders>
            <w:vAlign w:val="center"/>
            <w:hideMark/>
          </w:tcPr>
          <w:p w14:paraId="3C6B6910" w14:textId="77777777" w:rsidR="00B04798" w:rsidRPr="00B04798" w:rsidRDefault="00B04798" w:rsidP="00B04798">
            <w:pPr>
              <w:pStyle w:val="BodyTextCondensed"/>
            </w:pPr>
            <w:r w:rsidRPr="00B04798">
              <w:t>‘01’ – Health service budget (not covered elsewhere)</w:t>
            </w:r>
          </w:p>
        </w:tc>
        <w:tc>
          <w:tcPr>
            <w:tcW w:w="708" w:type="dxa"/>
            <w:tcBorders>
              <w:bottom w:val="single" w:sz="12" w:space="0" w:color="auto"/>
              <w:right w:val="single" w:sz="12" w:space="0" w:color="auto"/>
            </w:tcBorders>
            <w:vAlign w:val="center"/>
            <w:hideMark/>
          </w:tcPr>
          <w:p w14:paraId="7FAA6DDD" w14:textId="77777777" w:rsidR="00B04798" w:rsidRPr="00B04798" w:rsidRDefault="00B04798" w:rsidP="00B04798">
            <w:pPr>
              <w:pStyle w:val="BodyTextCondensed"/>
              <w:jc w:val="center"/>
            </w:pPr>
            <w:r w:rsidRPr="00B04798">
              <w:t>1</w:t>
            </w:r>
          </w:p>
        </w:tc>
        <w:tc>
          <w:tcPr>
            <w:tcW w:w="1701" w:type="dxa"/>
            <w:tcBorders>
              <w:left w:val="single" w:sz="12" w:space="0" w:color="auto"/>
              <w:bottom w:val="single" w:sz="12" w:space="0" w:color="auto"/>
            </w:tcBorders>
            <w:vAlign w:val="center"/>
            <w:hideMark/>
          </w:tcPr>
          <w:p w14:paraId="4845BC6F" w14:textId="77777777" w:rsidR="00B04798" w:rsidRPr="00B04798" w:rsidRDefault="00B04798" w:rsidP="00B04798">
            <w:pPr>
              <w:pStyle w:val="BodyTextCondensed"/>
            </w:pPr>
            <w:r w:rsidRPr="00B04798">
              <w:t>‘1’ – In person</w:t>
            </w:r>
          </w:p>
        </w:tc>
        <w:tc>
          <w:tcPr>
            <w:tcW w:w="709" w:type="dxa"/>
            <w:tcBorders>
              <w:bottom w:val="single" w:sz="12" w:space="0" w:color="auto"/>
              <w:right w:val="single" w:sz="12" w:space="0" w:color="auto"/>
            </w:tcBorders>
            <w:vAlign w:val="center"/>
            <w:hideMark/>
          </w:tcPr>
          <w:p w14:paraId="365ABF9F" w14:textId="77777777" w:rsidR="00B04798" w:rsidRPr="00B04798" w:rsidRDefault="00B04798" w:rsidP="00B04798">
            <w:pPr>
              <w:pStyle w:val="BodyTextCondensed"/>
              <w:jc w:val="center"/>
            </w:pPr>
            <w:r w:rsidRPr="00B04798">
              <w:t>2</w:t>
            </w:r>
          </w:p>
        </w:tc>
        <w:tc>
          <w:tcPr>
            <w:tcW w:w="1418" w:type="dxa"/>
            <w:tcBorders>
              <w:left w:val="single" w:sz="12" w:space="0" w:color="auto"/>
              <w:bottom w:val="single" w:sz="12" w:space="0" w:color="auto"/>
            </w:tcBorders>
            <w:shd w:val="clear" w:color="auto" w:fill="D9D9D9"/>
            <w:noWrap/>
            <w:vAlign w:val="bottom"/>
            <w:hideMark/>
          </w:tcPr>
          <w:p w14:paraId="16DD9051" w14:textId="18021BC1" w:rsidR="00B04798" w:rsidRPr="00B04798" w:rsidRDefault="00B04798" w:rsidP="00697A01">
            <w:pPr>
              <w:pStyle w:val="BodyTextCondensed"/>
            </w:pPr>
          </w:p>
        </w:tc>
        <w:tc>
          <w:tcPr>
            <w:tcW w:w="1275" w:type="dxa"/>
            <w:tcBorders>
              <w:bottom w:val="single" w:sz="12" w:space="0" w:color="auto"/>
              <w:right w:val="single" w:sz="12" w:space="0" w:color="auto"/>
            </w:tcBorders>
            <w:shd w:val="clear" w:color="auto" w:fill="D9D9D9"/>
            <w:noWrap/>
            <w:vAlign w:val="bottom"/>
            <w:hideMark/>
          </w:tcPr>
          <w:p w14:paraId="4CF63D4E" w14:textId="46E92068" w:rsidR="00B04798" w:rsidRPr="00B04798" w:rsidRDefault="00B04798" w:rsidP="00B04798">
            <w:pPr>
              <w:pStyle w:val="BodyTextCondensed"/>
            </w:pPr>
          </w:p>
        </w:tc>
        <w:tc>
          <w:tcPr>
            <w:tcW w:w="1560" w:type="dxa"/>
            <w:tcBorders>
              <w:left w:val="single" w:sz="12" w:space="0" w:color="auto"/>
              <w:bottom w:val="single" w:sz="12" w:space="0" w:color="auto"/>
              <w:right w:val="single" w:sz="12" w:space="0" w:color="auto"/>
            </w:tcBorders>
            <w:shd w:val="clear" w:color="auto" w:fill="D9D9D9"/>
            <w:noWrap/>
            <w:vAlign w:val="bottom"/>
            <w:hideMark/>
          </w:tcPr>
          <w:p w14:paraId="1D9AB6EC" w14:textId="4B599655" w:rsidR="00B04798" w:rsidRPr="00B04798" w:rsidRDefault="00B04798" w:rsidP="00B04798">
            <w:pPr>
              <w:pStyle w:val="BodyTextCondensed"/>
            </w:pPr>
          </w:p>
        </w:tc>
        <w:tc>
          <w:tcPr>
            <w:tcW w:w="1001" w:type="dxa"/>
            <w:tcBorders>
              <w:left w:val="single" w:sz="12" w:space="0" w:color="auto"/>
              <w:bottom w:val="single" w:sz="12" w:space="0" w:color="auto"/>
              <w:right w:val="single" w:sz="12" w:space="0" w:color="auto"/>
            </w:tcBorders>
            <w:vAlign w:val="center"/>
            <w:hideMark/>
          </w:tcPr>
          <w:p w14:paraId="5368508D" w14:textId="77777777" w:rsidR="00B04798" w:rsidRPr="00B04798" w:rsidRDefault="00B04798" w:rsidP="00B04798">
            <w:pPr>
              <w:pStyle w:val="BodyTextCondensed"/>
              <w:jc w:val="center"/>
            </w:pPr>
            <w:r w:rsidRPr="00B04798">
              <w:t>2</w:t>
            </w:r>
          </w:p>
        </w:tc>
        <w:tc>
          <w:tcPr>
            <w:tcW w:w="1267" w:type="dxa"/>
            <w:tcBorders>
              <w:left w:val="single" w:sz="12" w:space="0" w:color="auto"/>
              <w:bottom w:val="single" w:sz="12" w:space="0" w:color="auto"/>
              <w:right w:val="single" w:sz="12" w:space="0" w:color="auto"/>
            </w:tcBorders>
            <w:vAlign w:val="center"/>
            <w:hideMark/>
          </w:tcPr>
          <w:p w14:paraId="63E722BD" w14:textId="77777777" w:rsidR="00B04798" w:rsidRPr="00B04798" w:rsidRDefault="00B04798" w:rsidP="00B04798">
            <w:pPr>
              <w:pStyle w:val="BodyTextCondensed"/>
              <w:jc w:val="center"/>
            </w:pPr>
            <w:r w:rsidRPr="00B04798">
              <w:t>N</w:t>
            </w:r>
          </w:p>
        </w:tc>
      </w:tr>
      <w:tr w:rsidR="00B04798" w:rsidRPr="00B04798" w14:paraId="781CF3E5" w14:textId="77777777" w:rsidTr="00697A01">
        <w:trPr>
          <w:trHeight w:val="660"/>
          <w:jc w:val="center"/>
        </w:trPr>
        <w:tc>
          <w:tcPr>
            <w:tcW w:w="1545" w:type="dxa"/>
            <w:tcBorders>
              <w:top w:val="single" w:sz="12" w:space="0" w:color="auto"/>
              <w:left w:val="single" w:sz="12" w:space="0" w:color="auto"/>
              <w:right w:val="single" w:sz="12" w:space="0" w:color="auto"/>
            </w:tcBorders>
            <w:noWrap/>
            <w:vAlign w:val="center"/>
            <w:hideMark/>
          </w:tcPr>
          <w:p w14:paraId="0941C1E4" w14:textId="77777777" w:rsidR="00B04798" w:rsidRPr="00B04798" w:rsidRDefault="00B04798" w:rsidP="00B04798">
            <w:pPr>
              <w:pStyle w:val="BodyTextCondensed"/>
              <w:jc w:val="center"/>
            </w:pPr>
            <w:r w:rsidRPr="00B04798">
              <w:t>1</w:t>
            </w:r>
          </w:p>
        </w:tc>
        <w:tc>
          <w:tcPr>
            <w:tcW w:w="2835" w:type="dxa"/>
            <w:tcBorders>
              <w:top w:val="single" w:sz="12" w:space="0" w:color="auto"/>
              <w:left w:val="single" w:sz="12" w:space="0" w:color="auto"/>
            </w:tcBorders>
            <w:vAlign w:val="center"/>
            <w:hideMark/>
          </w:tcPr>
          <w:p w14:paraId="3AB7F2FD" w14:textId="77777777" w:rsidR="00B04798" w:rsidRPr="00B04798" w:rsidRDefault="00B04798" w:rsidP="00B04798">
            <w:pPr>
              <w:pStyle w:val="BodyTextCondensed"/>
            </w:pPr>
            <w:r w:rsidRPr="00B04798">
              <w:t>‘07’ – Department of Veterans' Affairs</w:t>
            </w:r>
          </w:p>
        </w:tc>
        <w:tc>
          <w:tcPr>
            <w:tcW w:w="708" w:type="dxa"/>
            <w:tcBorders>
              <w:top w:val="single" w:sz="12" w:space="0" w:color="auto"/>
              <w:right w:val="single" w:sz="12" w:space="0" w:color="auto"/>
            </w:tcBorders>
            <w:vAlign w:val="center"/>
            <w:hideMark/>
          </w:tcPr>
          <w:p w14:paraId="3DF19F5D" w14:textId="77777777" w:rsidR="00B04798" w:rsidRPr="00B04798" w:rsidRDefault="00B04798" w:rsidP="00B04798">
            <w:pPr>
              <w:pStyle w:val="BodyTextCondensed"/>
              <w:jc w:val="center"/>
            </w:pPr>
            <w:r w:rsidRPr="00B04798">
              <w:t>1</w:t>
            </w:r>
          </w:p>
        </w:tc>
        <w:tc>
          <w:tcPr>
            <w:tcW w:w="1701" w:type="dxa"/>
            <w:tcBorders>
              <w:top w:val="single" w:sz="12" w:space="0" w:color="auto"/>
              <w:left w:val="single" w:sz="12" w:space="0" w:color="auto"/>
            </w:tcBorders>
            <w:vAlign w:val="center"/>
            <w:hideMark/>
          </w:tcPr>
          <w:p w14:paraId="797B8940" w14:textId="77777777" w:rsidR="00B04798" w:rsidRPr="00B04798" w:rsidRDefault="00B04798" w:rsidP="00B04798">
            <w:pPr>
              <w:pStyle w:val="BodyTextCondensed"/>
            </w:pPr>
            <w:r w:rsidRPr="00B04798">
              <w:t>‘2’ – Telephone</w:t>
            </w:r>
          </w:p>
        </w:tc>
        <w:tc>
          <w:tcPr>
            <w:tcW w:w="709" w:type="dxa"/>
            <w:tcBorders>
              <w:top w:val="single" w:sz="12" w:space="0" w:color="auto"/>
              <w:right w:val="single" w:sz="12" w:space="0" w:color="auto"/>
            </w:tcBorders>
            <w:vAlign w:val="center"/>
            <w:hideMark/>
          </w:tcPr>
          <w:p w14:paraId="134D4D9F" w14:textId="77777777" w:rsidR="00B04798" w:rsidRPr="00B04798" w:rsidRDefault="00B04798" w:rsidP="00B04798">
            <w:pPr>
              <w:pStyle w:val="BodyTextCondensed"/>
              <w:jc w:val="center"/>
            </w:pPr>
            <w:r w:rsidRPr="00B04798">
              <w:t>2</w:t>
            </w:r>
          </w:p>
        </w:tc>
        <w:tc>
          <w:tcPr>
            <w:tcW w:w="1418" w:type="dxa"/>
            <w:tcBorders>
              <w:top w:val="single" w:sz="12" w:space="0" w:color="auto"/>
              <w:left w:val="single" w:sz="12" w:space="0" w:color="auto"/>
            </w:tcBorders>
            <w:vAlign w:val="center"/>
            <w:hideMark/>
          </w:tcPr>
          <w:p w14:paraId="17A7797F" w14:textId="77777777" w:rsidR="00B04798" w:rsidRPr="00B04798" w:rsidRDefault="00B04798" w:rsidP="00B04798">
            <w:pPr>
              <w:pStyle w:val="BodyTextCondensed"/>
            </w:pPr>
            <w:r w:rsidRPr="00B04798">
              <w:t>‘2’ – Review</w:t>
            </w:r>
          </w:p>
        </w:tc>
        <w:tc>
          <w:tcPr>
            <w:tcW w:w="1275" w:type="dxa"/>
            <w:tcBorders>
              <w:top w:val="single" w:sz="12" w:space="0" w:color="auto"/>
              <w:right w:val="single" w:sz="12" w:space="0" w:color="auto"/>
            </w:tcBorders>
            <w:vAlign w:val="center"/>
            <w:hideMark/>
          </w:tcPr>
          <w:p w14:paraId="0EECC17A" w14:textId="77777777" w:rsidR="00B04798" w:rsidRPr="00B04798" w:rsidRDefault="00B04798" w:rsidP="00B04798">
            <w:pPr>
              <w:pStyle w:val="BodyTextCondensed"/>
              <w:jc w:val="center"/>
            </w:pPr>
            <w:r w:rsidRPr="00B04798">
              <w:t>2</w:t>
            </w:r>
          </w:p>
        </w:tc>
        <w:tc>
          <w:tcPr>
            <w:tcW w:w="1560" w:type="dxa"/>
            <w:tcBorders>
              <w:top w:val="single" w:sz="12" w:space="0" w:color="auto"/>
              <w:left w:val="single" w:sz="12" w:space="0" w:color="auto"/>
              <w:right w:val="single" w:sz="12" w:space="0" w:color="auto"/>
            </w:tcBorders>
            <w:vAlign w:val="center"/>
            <w:hideMark/>
          </w:tcPr>
          <w:p w14:paraId="2BC70B9C" w14:textId="77777777" w:rsidR="00B04798" w:rsidRPr="00B04798" w:rsidRDefault="00B04798" w:rsidP="00B04798">
            <w:pPr>
              <w:pStyle w:val="BodyTextCondensed"/>
            </w:pPr>
            <w:r w:rsidRPr="00B04798">
              <w:t>250720230900</w:t>
            </w:r>
          </w:p>
        </w:tc>
        <w:tc>
          <w:tcPr>
            <w:tcW w:w="1001" w:type="dxa"/>
            <w:tcBorders>
              <w:top w:val="single" w:sz="12" w:space="0" w:color="auto"/>
              <w:left w:val="single" w:sz="12" w:space="0" w:color="auto"/>
              <w:right w:val="single" w:sz="12" w:space="0" w:color="auto"/>
            </w:tcBorders>
            <w:vAlign w:val="center"/>
            <w:hideMark/>
          </w:tcPr>
          <w:p w14:paraId="0E15328C" w14:textId="77777777" w:rsidR="00B04798" w:rsidRPr="00B04798" w:rsidRDefault="00B04798" w:rsidP="00B04798">
            <w:pPr>
              <w:pStyle w:val="BodyTextCondensed"/>
              <w:jc w:val="center"/>
            </w:pPr>
            <w:r w:rsidRPr="00B04798">
              <w:t>1</w:t>
            </w:r>
          </w:p>
        </w:tc>
        <w:tc>
          <w:tcPr>
            <w:tcW w:w="1267" w:type="dxa"/>
            <w:tcBorders>
              <w:top w:val="single" w:sz="12" w:space="0" w:color="auto"/>
              <w:left w:val="single" w:sz="12" w:space="0" w:color="auto"/>
              <w:right w:val="single" w:sz="12" w:space="0" w:color="auto"/>
            </w:tcBorders>
            <w:vAlign w:val="center"/>
            <w:hideMark/>
          </w:tcPr>
          <w:p w14:paraId="5E40D44A" w14:textId="77777777" w:rsidR="00B04798" w:rsidRPr="00B04798" w:rsidRDefault="00B04798" w:rsidP="00B04798">
            <w:pPr>
              <w:pStyle w:val="BodyTextCondensed"/>
              <w:jc w:val="center"/>
            </w:pPr>
            <w:r w:rsidRPr="00B04798">
              <w:t>Y</w:t>
            </w:r>
          </w:p>
        </w:tc>
      </w:tr>
      <w:tr w:rsidR="00B04798" w:rsidRPr="00B04798" w14:paraId="4DA044EC" w14:textId="77777777" w:rsidTr="00697A01">
        <w:trPr>
          <w:trHeight w:val="660"/>
          <w:jc w:val="center"/>
        </w:trPr>
        <w:tc>
          <w:tcPr>
            <w:tcW w:w="1545" w:type="dxa"/>
            <w:tcBorders>
              <w:left w:val="single" w:sz="12" w:space="0" w:color="auto"/>
              <w:right w:val="single" w:sz="12" w:space="0" w:color="auto"/>
            </w:tcBorders>
            <w:noWrap/>
            <w:vAlign w:val="center"/>
            <w:hideMark/>
          </w:tcPr>
          <w:p w14:paraId="09C5904E" w14:textId="77777777" w:rsidR="00B04798" w:rsidRPr="00B04798" w:rsidRDefault="00B04798" w:rsidP="00B04798">
            <w:pPr>
              <w:pStyle w:val="BodyTextCondensed"/>
              <w:jc w:val="center"/>
            </w:pPr>
            <w:r w:rsidRPr="00B04798">
              <w:t>2</w:t>
            </w:r>
          </w:p>
        </w:tc>
        <w:tc>
          <w:tcPr>
            <w:tcW w:w="2835" w:type="dxa"/>
            <w:tcBorders>
              <w:left w:val="single" w:sz="12" w:space="0" w:color="auto"/>
            </w:tcBorders>
            <w:vAlign w:val="center"/>
            <w:hideMark/>
          </w:tcPr>
          <w:p w14:paraId="7B3DBA67" w14:textId="77777777" w:rsidR="00B04798" w:rsidRPr="00B04798" w:rsidRDefault="00B04798" w:rsidP="00B04798">
            <w:pPr>
              <w:pStyle w:val="BodyTextCondensed"/>
            </w:pPr>
            <w:r w:rsidRPr="00B04798">
              <w:t>‘07’ – Department of Veterans' Affairs</w:t>
            </w:r>
          </w:p>
        </w:tc>
        <w:tc>
          <w:tcPr>
            <w:tcW w:w="708" w:type="dxa"/>
            <w:tcBorders>
              <w:right w:val="single" w:sz="12" w:space="0" w:color="auto"/>
            </w:tcBorders>
            <w:vAlign w:val="center"/>
            <w:hideMark/>
          </w:tcPr>
          <w:p w14:paraId="0A24F8DB" w14:textId="77777777" w:rsidR="00B04798" w:rsidRPr="00B04798" w:rsidRDefault="00B04798" w:rsidP="00B04798">
            <w:pPr>
              <w:pStyle w:val="BodyTextCondensed"/>
              <w:jc w:val="center"/>
            </w:pPr>
            <w:r w:rsidRPr="00B04798">
              <w:t>1</w:t>
            </w:r>
          </w:p>
        </w:tc>
        <w:tc>
          <w:tcPr>
            <w:tcW w:w="1701" w:type="dxa"/>
            <w:tcBorders>
              <w:left w:val="single" w:sz="12" w:space="0" w:color="auto"/>
            </w:tcBorders>
            <w:vAlign w:val="center"/>
            <w:hideMark/>
          </w:tcPr>
          <w:p w14:paraId="476BB1B7" w14:textId="77777777" w:rsidR="00B04798" w:rsidRPr="00B04798" w:rsidRDefault="00B04798" w:rsidP="00B04798">
            <w:pPr>
              <w:pStyle w:val="BodyTextCondensed"/>
            </w:pPr>
            <w:r w:rsidRPr="00B04798">
              <w:t>‘2’ – Telephone</w:t>
            </w:r>
          </w:p>
        </w:tc>
        <w:tc>
          <w:tcPr>
            <w:tcW w:w="709" w:type="dxa"/>
            <w:tcBorders>
              <w:right w:val="single" w:sz="12" w:space="0" w:color="auto"/>
            </w:tcBorders>
            <w:vAlign w:val="center"/>
            <w:hideMark/>
          </w:tcPr>
          <w:p w14:paraId="098D9040" w14:textId="77777777" w:rsidR="00B04798" w:rsidRPr="00B04798" w:rsidRDefault="00B04798" w:rsidP="00B04798">
            <w:pPr>
              <w:pStyle w:val="BodyTextCondensed"/>
              <w:jc w:val="center"/>
            </w:pPr>
            <w:r w:rsidRPr="00B04798">
              <w:t>2</w:t>
            </w:r>
          </w:p>
        </w:tc>
        <w:tc>
          <w:tcPr>
            <w:tcW w:w="1418" w:type="dxa"/>
            <w:tcBorders>
              <w:left w:val="single" w:sz="12" w:space="0" w:color="auto"/>
            </w:tcBorders>
            <w:vAlign w:val="center"/>
            <w:hideMark/>
          </w:tcPr>
          <w:p w14:paraId="16E3A7C4" w14:textId="77777777" w:rsidR="00B04798" w:rsidRPr="00B04798" w:rsidRDefault="00B04798" w:rsidP="00B04798">
            <w:pPr>
              <w:pStyle w:val="BodyTextCondensed"/>
            </w:pPr>
            <w:r w:rsidRPr="00B04798">
              <w:t>‘2’ – Review</w:t>
            </w:r>
          </w:p>
        </w:tc>
        <w:tc>
          <w:tcPr>
            <w:tcW w:w="1275" w:type="dxa"/>
            <w:tcBorders>
              <w:right w:val="single" w:sz="12" w:space="0" w:color="auto"/>
            </w:tcBorders>
            <w:vAlign w:val="center"/>
            <w:hideMark/>
          </w:tcPr>
          <w:p w14:paraId="36A7CCBE" w14:textId="77777777" w:rsidR="00B04798" w:rsidRPr="00B04798" w:rsidRDefault="00B04798" w:rsidP="00B04798">
            <w:pPr>
              <w:pStyle w:val="BodyTextCondensed"/>
              <w:jc w:val="center"/>
            </w:pPr>
            <w:r w:rsidRPr="00B04798">
              <w:t>2</w:t>
            </w:r>
          </w:p>
        </w:tc>
        <w:tc>
          <w:tcPr>
            <w:tcW w:w="1560" w:type="dxa"/>
            <w:tcBorders>
              <w:left w:val="single" w:sz="12" w:space="0" w:color="auto"/>
              <w:right w:val="single" w:sz="12" w:space="0" w:color="auto"/>
            </w:tcBorders>
            <w:vAlign w:val="center"/>
            <w:hideMark/>
          </w:tcPr>
          <w:p w14:paraId="5E6653E3" w14:textId="77777777" w:rsidR="00B04798" w:rsidRPr="00B04798" w:rsidRDefault="00B04798" w:rsidP="00B04798">
            <w:pPr>
              <w:pStyle w:val="BodyTextCondensed"/>
            </w:pPr>
            <w:r w:rsidRPr="00B04798">
              <w:t>250720231400</w:t>
            </w:r>
          </w:p>
        </w:tc>
        <w:tc>
          <w:tcPr>
            <w:tcW w:w="1001" w:type="dxa"/>
            <w:tcBorders>
              <w:left w:val="single" w:sz="12" w:space="0" w:color="auto"/>
              <w:right w:val="single" w:sz="12" w:space="0" w:color="auto"/>
            </w:tcBorders>
            <w:vAlign w:val="center"/>
            <w:hideMark/>
          </w:tcPr>
          <w:p w14:paraId="16AD1484" w14:textId="77777777" w:rsidR="00B04798" w:rsidRPr="00B04798" w:rsidRDefault="00B04798" w:rsidP="00B04798">
            <w:pPr>
              <w:pStyle w:val="BodyTextCondensed"/>
              <w:jc w:val="center"/>
            </w:pPr>
            <w:r w:rsidRPr="00B04798">
              <w:t>2</w:t>
            </w:r>
          </w:p>
        </w:tc>
        <w:tc>
          <w:tcPr>
            <w:tcW w:w="1267" w:type="dxa"/>
            <w:tcBorders>
              <w:left w:val="single" w:sz="12" w:space="0" w:color="auto"/>
              <w:right w:val="single" w:sz="12" w:space="0" w:color="auto"/>
            </w:tcBorders>
            <w:vAlign w:val="center"/>
            <w:hideMark/>
          </w:tcPr>
          <w:p w14:paraId="08F8D8C2" w14:textId="77777777" w:rsidR="00B04798" w:rsidRPr="00B04798" w:rsidRDefault="00B04798" w:rsidP="00B04798">
            <w:pPr>
              <w:pStyle w:val="BodyTextCondensed"/>
              <w:jc w:val="center"/>
            </w:pPr>
            <w:r w:rsidRPr="00B04798">
              <w:t>N</w:t>
            </w:r>
          </w:p>
        </w:tc>
      </w:tr>
      <w:tr w:rsidR="00B04798" w:rsidRPr="00B04798" w14:paraId="7E15889E" w14:textId="77777777" w:rsidTr="00697A01">
        <w:trPr>
          <w:trHeight w:val="660"/>
          <w:jc w:val="center"/>
        </w:trPr>
        <w:tc>
          <w:tcPr>
            <w:tcW w:w="1545" w:type="dxa"/>
            <w:tcBorders>
              <w:left w:val="single" w:sz="12" w:space="0" w:color="auto"/>
              <w:right w:val="single" w:sz="12" w:space="0" w:color="auto"/>
            </w:tcBorders>
            <w:noWrap/>
            <w:vAlign w:val="center"/>
            <w:hideMark/>
          </w:tcPr>
          <w:p w14:paraId="1880DF4A" w14:textId="77777777" w:rsidR="00B04798" w:rsidRPr="00B04798" w:rsidRDefault="00B04798" w:rsidP="00B04798">
            <w:pPr>
              <w:pStyle w:val="BodyTextCondensed"/>
              <w:jc w:val="center"/>
            </w:pPr>
            <w:r w:rsidRPr="00B04798">
              <w:t>3</w:t>
            </w:r>
          </w:p>
        </w:tc>
        <w:tc>
          <w:tcPr>
            <w:tcW w:w="2835" w:type="dxa"/>
            <w:tcBorders>
              <w:left w:val="single" w:sz="12" w:space="0" w:color="auto"/>
            </w:tcBorders>
            <w:vAlign w:val="center"/>
            <w:hideMark/>
          </w:tcPr>
          <w:p w14:paraId="2302CD49" w14:textId="77777777" w:rsidR="00B04798" w:rsidRPr="00B04798" w:rsidRDefault="00B04798" w:rsidP="00B04798">
            <w:pPr>
              <w:pStyle w:val="BodyTextCondensed"/>
            </w:pPr>
            <w:r w:rsidRPr="00B04798">
              <w:t xml:space="preserve">‘04’ – Worker's compensation </w:t>
            </w:r>
          </w:p>
        </w:tc>
        <w:tc>
          <w:tcPr>
            <w:tcW w:w="708" w:type="dxa"/>
            <w:tcBorders>
              <w:right w:val="single" w:sz="12" w:space="0" w:color="auto"/>
            </w:tcBorders>
            <w:vAlign w:val="center"/>
            <w:hideMark/>
          </w:tcPr>
          <w:p w14:paraId="3D8A3439" w14:textId="77777777" w:rsidR="00B04798" w:rsidRPr="00B04798" w:rsidRDefault="00B04798" w:rsidP="00B04798">
            <w:pPr>
              <w:pStyle w:val="BodyTextCondensed"/>
              <w:jc w:val="center"/>
            </w:pPr>
            <w:r w:rsidRPr="00B04798">
              <w:t>2</w:t>
            </w:r>
          </w:p>
        </w:tc>
        <w:tc>
          <w:tcPr>
            <w:tcW w:w="1701" w:type="dxa"/>
            <w:tcBorders>
              <w:left w:val="single" w:sz="12" w:space="0" w:color="auto"/>
            </w:tcBorders>
            <w:shd w:val="clear" w:color="auto" w:fill="D9D9D9"/>
            <w:noWrap/>
            <w:vAlign w:val="bottom"/>
            <w:hideMark/>
          </w:tcPr>
          <w:p w14:paraId="4532CE32" w14:textId="61BA6D62" w:rsidR="00B04798" w:rsidRPr="00B04798" w:rsidRDefault="00B04798" w:rsidP="00B04798">
            <w:pPr>
              <w:pStyle w:val="BodyTextCondensed"/>
            </w:pPr>
          </w:p>
        </w:tc>
        <w:tc>
          <w:tcPr>
            <w:tcW w:w="709" w:type="dxa"/>
            <w:tcBorders>
              <w:right w:val="single" w:sz="12" w:space="0" w:color="auto"/>
            </w:tcBorders>
            <w:shd w:val="clear" w:color="auto" w:fill="D9D9D9"/>
            <w:noWrap/>
            <w:vAlign w:val="bottom"/>
            <w:hideMark/>
          </w:tcPr>
          <w:p w14:paraId="491D2383" w14:textId="34815C30" w:rsidR="00B04798" w:rsidRPr="00B04798" w:rsidRDefault="00B04798" w:rsidP="00B04798">
            <w:pPr>
              <w:pStyle w:val="BodyTextCondensed"/>
            </w:pPr>
          </w:p>
        </w:tc>
        <w:tc>
          <w:tcPr>
            <w:tcW w:w="1418" w:type="dxa"/>
            <w:tcBorders>
              <w:left w:val="single" w:sz="12" w:space="0" w:color="auto"/>
            </w:tcBorders>
            <w:shd w:val="clear" w:color="auto" w:fill="D9D9D9"/>
            <w:noWrap/>
            <w:vAlign w:val="bottom"/>
            <w:hideMark/>
          </w:tcPr>
          <w:p w14:paraId="51F17FF7" w14:textId="080272A6" w:rsidR="00B04798" w:rsidRPr="00B04798" w:rsidRDefault="00B04798" w:rsidP="00697A01">
            <w:pPr>
              <w:pStyle w:val="BodyTextCondensed"/>
            </w:pPr>
          </w:p>
        </w:tc>
        <w:tc>
          <w:tcPr>
            <w:tcW w:w="1275" w:type="dxa"/>
            <w:tcBorders>
              <w:right w:val="single" w:sz="12" w:space="0" w:color="auto"/>
            </w:tcBorders>
            <w:shd w:val="clear" w:color="auto" w:fill="D9D9D9"/>
            <w:noWrap/>
            <w:vAlign w:val="bottom"/>
            <w:hideMark/>
          </w:tcPr>
          <w:p w14:paraId="38C70D4F" w14:textId="48034189" w:rsidR="00B04798" w:rsidRPr="00B04798" w:rsidRDefault="00B04798" w:rsidP="00B04798">
            <w:pPr>
              <w:pStyle w:val="BodyTextCondensed"/>
            </w:pPr>
          </w:p>
        </w:tc>
        <w:tc>
          <w:tcPr>
            <w:tcW w:w="1560" w:type="dxa"/>
            <w:tcBorders>
              <w:left w:val="single" w:sz="12" w:space="0" w:color="auto"/>
              <w:right w:val="single" w:sz="12" w:space="0" w:color="auto"/>
            </w:tcBorders>
            <w:shd w:val="clear" w:color="auto" w:fill="D9D9D9"/>
            <w:noWrap/>
            <w:vAlign w:val="bottom"/>
            <w:hideMark/>
          </w:tcPr>
          <w:p w14:paraId="47565CBA" w14:textId="3FF6050D" w:rsidR="00B04798" w:rsidRPr="00B04798" w:rsidRDefault="00B04798" w:rsidP="00B04798">
            <w:pPr>
              <w:pStyle w:val="BodyTextCondensed"/>
            </w:pPr>
          </w:p>
        </w:tc>
        <w:tc>
          <w:tcPr>
            <w:tcW w:w="1001" w:type="dxa"/>
            <w:tcBorders>
              <w:left w:val="single" w:sz="12" w:space="0" w:color="auto"/>
              <w:right w:val="single" w:sz="12" w:space="0" w:color="auto"/>
            </w:tcBorders>
            <w:vAlign w:val="center"/>
            <w:hideMark/>
          </w:tcPr>
          <w:p w14:paraId="57301AEB" w14:textId="77777777" w:rsidR="00B04798" w:rsidRPr="00B04798" w:rsidRDefault="00B04798" w:rsidP="00B04798">
            <w:pPr>
              <w:pStyle w:val="BodyTextCondensed"/>
              <w:jc w:val="center"/>
            </w:pPr>
            <w:r w:rsidRPr="00B04798">
              <w:t>3</w:t>
            </w:r>
          </w:p>
        </w:tc>
        <w:tc>
          <w:tcPr>
            <w:tcW w:w="1267" w:type="dxa"/>
            <w:tcBorders>
              <w:left w:val="single" w:sz="12" w:space="0" w:color="auto"/>
              <w:right w:val="single" w:sz="12" w:space="0" w:color="auto"/>
            </w:tcBorders>
            <w:vAlign w:val="center"/>
            <w:hideMark/>
          </w:tcPr>
          <w:p w14:paraId="6B8590EB" w14:textId="77777777" w:rsidR="00B04798" w:rsidRPr="00B04798" w:rsidRDefault="00B04798" w:rsidP="00B04798">
            <w:pPr>
              <w:pStyle w:val="BodyTextCondensed"/>
              <w:jc w:val="center"/>
            </w:pPr>
            <w:r w:rsidRPr="00B04798">
              <w:t>N</w:t>
            </w:r>
          </w:p>
        </w:tc>
      </w:tr>
      <w:tr w:rsidR="00B04798" w:rsidRPr="00B04798" w14:paraId="686CEB09" w14:textId="77777777" w:rsidTr="00F12C32">
        <w:trPr>
          <w:trHeight w:val="438"/>
          <w:jc w:val="center"/>
        </w:trPr>
        <w:tc>
          <w:tcPr>
            <w:tcW w:w="1545" w:type="dxa"/>
            <w:tcBorders>
              <w:left w:val="single" w:sz="12" w:space="0" w:color="auto"/>
              <w:bottom w:val="single" w:sz="12" w:space="0" w:color="auto"/>
              <w:right w:val="single" w:sz="12" w:space="0" w:color="auto"/>
            </w:tcBorders>
            <w:noWrap/>
            <w:vAlign w:val="center"/>
            <w:hideMark/>
          </w:tcPr>
          <w:p w14:paraId="1B272257" w14:textId="77777777" w:rsidR="00B04798" w:rsidRPr="00B04798" w:rsidRDefault="00B04798" w:rsidP="00B04798">
            <w:pPr>
              <w:pStyle w:val="BodyTextCondensed"/>
              <w:jc w:val="center"/>
            </w:pPr>
          </w:p>
        </w:tc>
        <w:tc>
          <w:tcPr>
            <w:tcW w:w="2835" w:type="dxa"/>
            <w:tcBorders>
              <w:left w:val="single" w:sz="12" w:space="0" w:color="auto"/>
              <w:bottom w:val="single" w:sz="12" w:space="0" w:color="auto"/>
            </w:tcBorders>
            <w:vAlign w:val="center"/>
            <w:hideMark/>
          </w:tcPr>
          <w:p w14:paraId="475D30B5" w14:textId="77777777" w:rsidR="00B04798" w:rsidRPr="00B04798" w:rsidRDefault="00B04798" w:rsidP="00B04798">
            <w:pPr>
              <w:pStyle w:val="BodyTextCondensed"/>
            </w:pPr>
            <w:r w:rsidRPr="00B04798">
              <w:t>‘01’ – Health service budget (not covered elsewhere)</w:t>
            </w:r>
          </w:p>
        </w:tc>
        <w:tc>
          <w:tcPr>
            <w:tcW w:w="708" w:type="dxa"/>
            <w:tcBorders>
              <w:bottom w:val="single" w:sz="12" w:space="0" w:color="auto"/>
              <w:right w:val="single" w:sz="12" w:space="0" w:color="auto"/>
            </w:tcBorders>
            <w:vAlign w:val="center"/>
            <w:hideMark/>
          </w:tcPr>
          <w:p w14:paraId="5D226612" w14:textId="77777777" w:rsidR="00B04798" w:rsidRPr="00B04798" w:rsidRDefault="00B04798" w:rsidP="00B04798">
            <w:pPr>
              <w:pStyle w:val="BodyTextCondensed"/>
              <w:jc w:val="center"/>
            </w:pPr>
            <w:r w:rsidRPr="00B04798">
              <w:t>3</w:t>
            </w:r>
          </w:p>
        </w:tc>
        <w:tc>
          <w:tcPr>
            <w:tcW w:w="1701" w:type="dxa"/>
            <w:tcBorders>
              <w:left w:val="single" w:sz="12" w:space="0" w:color="auto"/>
              <w:bottom w:val="single" w:sz="12" w:space="0" w:color="auto"/>
            </w:tcBorders>
            <w:shd w:val="clear" w:color="auto" w:fill="D9D9D9"/>
            <w:noWrap/>
            <w:vAlign w:val="bottom"/>
            <w:hideMark/>
          </w:tcPr>
          <w:p w14:paraId="5F493C5B" w14:textId="3775B562" w:rsidR="00B04798" w:rsidRPr="00B04798" w:rsidRDefault="00B04798" w:rsidP="00697A01">
            <w:pPr>
              <w:pStyle w:val="BodyTextCondensed"/>
            </w:pPr>
          </w:p>
        </w:tc>
        <w:tc>
          <w:tcPr>
            <w:tcW w:w="709" w:type="dxa"/>
            <w:tcBorders>
              <w:bottom w:val="single" w:sz="12" w:space="0" w:color="auto"/>
              <w:right w:val="single" w:sz="12" w:space="0" w:color="auto"/>
            </w:tcBorders>
            <w:shd w:val="clear" w:color="auto" w:fill="D9D9D9"/>
            <w:noWrap/>
            <w:vAlign w:val="bottom"/>
            <w:hideMark/>
          </w:tcPr>
          <w:p w14:paraId="179D520B" w14:textId="39BC32C4" w:rsidR="00B04798" w:rsidRPr="00B04798" w:rsidRDefault="00B04798" w:rsidP="00B04798">
            <w:pPr>
              <w:pStyle w:val="BodyTextCondensed"/>
            </w:pPr>
          </w:p>
        </w:tc>
        <w:tc>
          <w:tcPr>
            <w:tcW w:w="1418" w:type="dxa"/>
            <w:tcBorders>
              <w:left w:val="single" w:sz="12" w:space="0" w:color="auto"/>
              <w:bottom w:val="single" w:sz="12" w:space="0" w:color="auto"/>
            </w:tcBorders>
            <w:shd w:val="clear" w:color="auto" w:fill="D9D9D9"/>
            <w:noWrap/>
            <w:vAlign w:val="bottom"/>
            <w:hideMark/>
          </w:tcPr>
          <w:p w14:paraId="6E4D0E1E" w14:textId="02EB4530" w:rsidR="00B04798" w:rsidRPr="00B04798" w:rsidRDefault="00B04798" w:rsidP="00B04798">
            <w:pPr>
              <w:pStyle w:val="BodyTextCondensed"/>
            </w:pPr>
          </w:p>
        </w:tc>
        <w:tc>
          <w:tcPr>
            <w:tcW w:w="1275" w:type="dxa"/>
            <w:tcBorders>
              <w:bottom w:val="single" w:sz="12" w:space="0" w:color="auto"/>
              <w:right w:val="single" w:sz="12" w:space="0" w:color="auto"/>
            </w:tcBorders>
            <w:shd w:val="clear" w:color="auto" w:fill="D9D9D9"/>
            <w:noWrap/>
            <w:vAlign w:val="bottom"/>
            <w:hideMark/>
          </w:tcPr>
          <w:p w14:paraId="1D2390D5" w14:textId="16C9ECA0" w:rsidR="00B04798" w:rsidRPr="00B04798" w:rsidRDefault="00B04798" w:rsidP="00B04798">
            <w:pPr>
              <w:pStyle w:val="BodyTextCondensed"/>
            </w:pPr>
          </w:p>
        </w:tc>
        <w:tc>
          <w:tcPr>
            <w:tcW w:w="1560" w:type="dxa"/>
            <w:tcBorders>
              <w:left w:val="single" w:sz="12" w:space="0" w:color="auto"/>
              <w:bottom w:val="single" w:sz="12" w:space="0" w:color="auto"/>
              <w:right w:val="single" w:sz="12" w:space="0" w:color="auto"/>
            </w:tcBorders>
            <w:shd w:val="clear" w:color="auto" w:fill="D9D9D9"/>
            <w:noWrap/>
            <w:vAlign w:val="bottom"/>
            <w:hideMark/>
          </w:tcPr>
          <w:p w14:paraId="7877FFA3" w14:textId="5B8773B8" w:rsidR="00B04798" w:rsidRPr="00B04798" w:rsidRDefault="00B04798" w:rsidP="00B04798">
            <w:pPr>
              <w:pStyle w:val="BodyTextCondensed"/>
            </w:pPr>
          </w:p>
        </w:tc>
        <w:tc>
          <w:tcPr>
            <w:tcW w:w="1001" w:type="dxa"/>
            <w:tcBorders>
              <w:left w:val="single" w:sz="12" w:space="0" w:color="auto"/>
              <w:bottom w:val="single" w:sz="12" w:space="0" w:color="auto"/>
              <w:right w:val="single" w:sz="12" w:space="0" w:color="auto"/>
            </w:tcBorders>
            <w:vAlign w:val="center"/>
            <w:hideMark/>
          </w:tcPr>
          <w:p w14:paraId="2E96FC43" w14:textId="77777777" w:rsidR="00B04798" w:rsidRPr="00B04798" w:rsidRDefault="00B04798" w:rsidP="00B04798">
            <w:pPr>
              <w:pStyle w:val="BodyTextCondensed"/>
              <w:jc w:val="center"/>
            </w:pPr>
            <w:r w:rsidRPr="00B04798">
              <w:t>4</w:t>
            </w:r>
          </w:p>
        </w:tc>
        <w:tc>
          <w:tcPr>
            <w:tcW w:w="1267" w:type="dxa"/>
            <w:tcBorders>
              <w:left w:val="single" w:sz="12" w:space="0" w:color="auto"/>
              <w:bottom w:val="single" w:sz="12" w:space="0" w:color="auto"/>
              <w:right w:val="single" w:sz="12" w:space="0" w:color="auto"/>
            </w:tcBorders>
            <w:vAlign w:val="center"/>
            <w:hideMark/>
          </w:tcPr>
          <w:p w14:paraId="71586D7B" w14:textId="77777777" w:rsidR="00B04798" w:rsidRPr="00B04798" w:rsidRDefault="00B04798" w:rsidP="00B04798">
            <w:pPr>
              <w:pStyle w:val="BodyTextCondensed"/>
              <w:jc w:val="center"/>
            </w:pPr>
            <w:r w:rsidRPr="00B04798">
              <w:t>N</w:t>
            </w:r>
          </w:p>
        </w:tc>
      </w:tr>
    </w:tbl>
    <w:p w14:paraId="5E2D9B8E" w14:textId="618336AE" w:rsidR="00E77B5A" w:rsidRPr="00E77B5A" w:rsidRDefault="00E77B5A" w:rsidP="00E77B5A">
      <w:pPr>
        <w:pStyle w:val="Heading1"/>
      </w:pPr>
      <w:bookmarkStart w:id="5" w:name="_Toc168662786"/>
      <w:r w:rsidRPr="00E77B5A">
        <w:lastRenderedPageBreak/>
        <w:t>Rule 2 – Single Service Provider Code</w:t>
      </w:r>
      <w:bookmarkEnd w:id="2"/>
      <w:bookmarkEnd w:id="3"/>
      <w:bookmarkEnd w:id="5"/>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94"/>
        <w:gridCol w:w="2472"/>
        <w:gridCol w:w="2262"/>
        <w:gridCol w:w="3412"/>
        <w:gridCol w:w="2836"/>
      </w:tblGrid>
      <w:tr w:rsidR="00E77B5A" w:rsidRPr="00E77B5A" w14:paraId="6C0AF72B" w14:textId="77777777" w:rsidTr="007C2700">
        <w:trPr>
          <w:trHeight w:val="540"/>
        </w:trPr>
        <w:tc>
          <w:tcPr>
            <w:tcW w:w="1970" w:type="dxa"/>
            <w:shd w:val="clear" w:color="auto" w:fill="001D47"/>
            <w:vAlign w:val="center"/>
            <w:hideMark/>
          </w:tcPr>
          <w:p w14:paraId="16B57872" w14:textId="77777777" w:rsidR="00E77B5A" w:rsidRPr="00E77B5A" w:rsidRDefault="00E77B5A" w:rsidP="00E77B5A">
            <w:pPr>
              <w:pStyle w:val="BodyText"/>
              <w:rPr>
                <w:b/>
                <w:bCs/>
                <w:color w:val="FFFFFF" w:themeColor="background1"/>
                <w:sz w:val="32"/>
                <w:szCs w:val="32"/>
              </w:rPr>
            </w:pPr>
            <w:r w:rsidRPr="00E77B5A">
              <w:rPr>
                <w:b/>
                <w:bCs/>
                <w:color w:val="FFFFFF" w:themeColor="background1"/>
                <w:sz w:val="32"/>
                <w:szCs w:val="32"/>
              </w:rPr>
              <w:t>Rule No.</w:t>
            </w:r>
          </w:p>
        </w:tc>
        <w:tc>
          <w:tcPr>
            <w:tcW w:w="794" w:type="dxa"/>
            <w:shd w:val="clear" w:color="auto" w:fill="B8E5FC"/>
            <w:vAlign w:val="center"/>
            <w:hideMark/>
          </w:tcPr>
          <w:p w14:paraId="4ADA696E" w14:textId="77777777" w:rsidR="00E77B5A" w:rsidRPr="00E77B5A" w:rsidRDefault="00E77B5A" w:rsidP="00E77B5A">
            <w:pPr>
              <w:pStyle w:val="BodyText"/>
              <w:rPr>
                <w:b/>
                <w:bCs/>
                <w:color w:val="FFFFFF" w:themeColor="background1"/>
                <w:sz w:val="32"/>
                <w:szCs w:val="32"/>
              </w:rPr>
            </w:pPr>
            <w:r w:rsidRPr="00E77B5A">
              <w:rPr>
                <w:b/>
                <w:bCs/>
                <w:sz w:val="32"/>
                <w:szCs w:val="32"/>
              </w:rPr>
              <w:t>2</w:t>
            </w:r>
          </w:p>
        </w:tc>
        <w:tc>
          <w:tcPr>
            <w:tcW w:w="2472" w:type="dxa"/>
            <w:shd w:val="clear" w:color="auto" w:fill="001D47"/>
            <w:vAlign w:val="center"/>
            <w:hideMark/>
          </w:tcPr>
          <w:p w14:paraId="380B8DC2" w14:textId="0C061965" w:rsidR="00E77B5A" w:rsidRPr="00E77B5A" w:rsidRDefault="007976F1" w:rsidP="00E77B5A">
            <w:pPr>
              <w:pStyle w:val="BodyText"/>
              <w:rPr>
                <w:b/>
                <w:bCs/>
                <w:color w:val="FFFFFF" w:themeColor="background1"/>
                <w:sz w:val="32"/>
                <w:szCs w:val="32"/>
              </w:rPr>
            </w:pPr>
            <w:r>
              <w:rPr>
                <w:b/>
                <w:bCs/>
                <w:color w:val="FFFFFF" w:themeColor="background1"/>
                <w:sz w:val="32"/>
                <w:szCs w:val="32"/>
              </w:rPr>
              <w:t>Business Rule</w:t>
            </w:r>
          </w:p>
        </w:tc>
        <w:tc>
          <w:tcPr>
            <w:tcW w:w="8510" w:type="dxa"/>
            <w:gridSpan w:val="3"/>
            <w:shd w:val="clear" w:color="auto" w:fill="B8E5FC"/>
            <w:vAlign w:val="center"/>
            <w:hideMark/>
          </w:tcPr>
          <w:p w14:paraId="2E4A1B6D" w14:textId="6109004C" w:rsidR="00E77B5A" w:rsidRPr="00E77B5A" w:rsidRDefault="007976F1" w:rsidP="00E77B5A">
            <w:pPr>
              <w:pStyle w:val="BodyText"/>
              <w:rPr>
                <w:b/>
                <w:bCs/>
                <w:color w:val="FFFFFF" w:themeColor="background1"/>
                <w:sz w:val="32"/>
                <w:szCs w:val="32"/>
              </w:rPr>
            </w:pPr>
            <w:r w:rsidRPr="00E77B5A">
              <w:rPr>
                <w:bCs/>
              </w:rPr>
              <w:t>Single Service Provider Code</w:t>
            </w:r>
          </w:p>
        </w:tc>
      </w:tr>
      <w:tr w:rsidR="00E77B5A" w:rsidRPr="00E77B5A" w14:paraId="7EE139C5" w14:textId="77777777" w:rsidTr="007C2700">
        <w:trPr>
          <w:trHeight w:val="315"/>
        </w:trPr>
        <w:tc>
          <w:tcPr>
            <w:tcW w:w="1970" w:type="dxa"/>
            <w:shd w:val="clear" w:color="auto" w:fill="94DCEF"/>
            <w:vAlign w:val="center"/>
          </w:tcPr>
          <w:p w14:paraId="3304C71B" w14:textId="77777777" w:rsidR="00E77B5A" w:rsidRPr="00E77B5A" w:rsidRDefault="00E77B5A" w:rsidP="00E77B5A">
            <w:pPr>
              <w:pStyle w:val="BodyText"/>
              <w:rPr>
                <w:b/>
                <w:bCs/>
              </w:rPr>
            </w:pPr>
            <w:r w:rsidRPr="00E77B5A">
              <w:rPr>
                <w:b/>
                <w:bCs/>
              </w:rPr>
              <w:t>Business Process</w:t>
            </w:r>
          </w:p>
        </w:tc>
        <w:tc>
          <w:tcPr>
            <w:tcW w:w="11776" w:type="dxa"/>
            <w:gridSpan w:val="5"/>
            <w:shd w:val="clear" w:color="auto" w:fill="auto"/>
            <w:vAlign w:val="center"/>
          </w:tcPr>
          <w:p w14:paraId="5DEFA800" w14:textId="5B678CA8" w:rsidR="00E77B5A" w:rsidRPr="007C2700" w:rsidRDefault="00E77B5A" w:rsidP="00E77B5A">
            <w:pPr>
              <w:pStyle w:val="BodyText"/>
              <w:rPr>
                <w:b/>
                <w:u w:val="single"/>
              </w:rPr>
            </w:pPr>
            <w:r w:rsidRPr="007C2700">
              <w:rPr>
                <w:b/>
                <w:u w:val="single"/>
              </w:rPr>
              <w:t>A single ‘principal’ service provider code needs to be reported for the service event</w:t>
            </w:r>
            <w:r w:rsidR="003753F8" w:rsidRPr="007C2700">
              <w:rPr>
                <w:b/>
                <w:u w:val="single"/>
              </w:rPr>
              <w:t xml:space="preserve">. </w:t>
            </w:r>
          </w:p>
          <w:p w14:paraId="595722DC" w14:textId="4A0F39B7" w:rsidR="004B1898" w:rsidRPr="00E77B5A" w:rsidRDefault="004B1898" w:rsidP="00E77B5A">
            <w:pPr>
              <w:pStyle w:val="BodyText"/>
              <w:rPr>
                <w:b/>
                <w:u w:val="single"/>
              </w:rPr>
            </w:pPr>
            <w:r w:rsidRPr="00E77B5A">
              <w:rPr>
                <w:bCs/>
              </w:rPr>
              <w:t>SATr extracts a single ‘principal’ Service Provider code for reporting to SSB</w:t>
            </w:r>
            <w:r w:rsidR="003753F8" w:rsidRPr="00E77B5A">
              <w:rPr>
                <w:bCs/>
              </w:rPr>
              <w:t xml:space="preserve">. </w:t>
            </w:r>
            <w:r w:rsidRPr="00E77B5A">
              <w:rPr>
                <w:bCs/>
              </w:rPr>
              <w:t>The agreed business rule is that if multiple service provider codes are supplied to SATr, then the code that is first in the sequence is extracted to the QHNAPDC as the principal service provider code.</w:t>
            </w:r>
          </w:p>
        </w:tc>
      </w:tr>
      <w:tr w:rsidR="00E77B5A" w:rsidRPr="00E77B5A" w14:paraId="784384ED" w14:textId="77777777" w:rsidTr="007C2700">
        <w:trPr>
          <w:trHeight w:val="315"/>
        </w:trPr>
        <w:tc>
          <w:tcPr>
            <w:tcW w:w="1970" w:type="dxa"/>
            <w:shd w:val="clear" w:color="auto" w:fill="94DCEF"/>
            <w:vAlign w:val="center"/>
            <w:hideMark/>
          </w:tcPr>
          <w:p w14:paraId="21723154" w14:textId="77777777" w:rsidR="00E77B5A" w:rsidRPr="00E77B5A" w:rsidRDefault="00E77B5A" w:rsidP="00E77B5A">
            <w:pPr>
              <w:pStyle w:val="BodyText"/>
              <w:rPr>
                <w:b/>
                <w:bCs/>
              </w:rPr>
            </w:pPr>
            <w:r w:rsidRPr="00E77B5A">
              <w:rPr>
                <w:b/>
                <w:bCs/>
              </w:rPr>
              <w:t>File Format Item #</w:t>
            </w:r>
          </w:p>
        </w:tc>
        <w:tc>
          <w:tcPr>
            <w:tcW w:w="794" w:type="dxa"/>
            <w:shd w:val="clear" w:color="auto" w:fill="B8E5FC"/>
            <w:vAlign w:val="center"/>
            <w:hideMark/>
          </w:tcPr>
          <w:p w14:paraId="34DB399C" w14:textId="77777777" w:rsidR="00E77B5A" w:rsidRPr="00E77B5A" w:rsidRDefault="00E77B5A" w:rsidP="00E77B5A">
            <w:pPr>
              <w:pStyle w:val="BodyText"/>
              <w:rPr>
                <w:bCs/>
              </w:rPr>
            </w:pPr>
            <w:r w:rsidRPr="00E77B5A">
              <w:rPr>
                <w:bCs/>
              </w:rPr>
              <w:t>17</w:t>
            </w:r>
          </w:p>
        </w:tc>
        <w:tc>
          <w:tcPr>
            <w:tcW w:w="2472" w:type="dxa"/>
            <w:shd w:val="clear" w:color="auto" w:fill="94DCEF"/>
            <w:vAlign w:val="center"/>
            <w:hideMark/>
          </w:tcPr>
          <w:p w14:paraId="593DE432" w14:textId="77777777" w:rsidR="00E77B5A" w:rsidRPr="00E77B5A" w:rsidRDefault="00E77B5A" w:rsidP="00E77B5A">
            <w:pPr>
              <w:pStyle w:val="BodyText"/>
              <w:rPr>
                <w:b/>
                <w:bCs/>
              </w:rPr>
            </w:pPr>
            <w:r w:rsidRPr="00E77B5A">
              <w:rPr>
                <w:b/>
                <w:bCs/>
              </w:rPr>
              <w:t>File Format Data Item</w:t>
            </w:r>
          </w:p>
        </w:tc>
        <w:tc>
          <w:tcPr>
            <w:tcW w:w="2262" w:type="dxa"/>
            <w:shd w:val="clear" w:color="auto" w:fill="B8E5FC"/>
            <w:vAlign w:val="center"/>
            <w:hideMark/>
          </w:tcPr>
          <w:p w14:paraId="366839CA" w14:textId="77777777" w:rsidR="00E77B5A" w:rsidRPr="00E77B5A" w:rsidRDefault="00EC2651" w:rsidP="00E77B5A">
            <w:pPr>
              <w:pStyle w:val="BodyText"/>
              <w:rPr>
                <w:bCs/>
                <w:u w:val="single"/>
              </w:rPr>
            </w:pPr>
            <w:hyperlink r:id="rId26" w:history="1">
              <w:r w:rsidR="00E77B5A" w:rsidRPr="00E77B5A">
                <w:rPr>
                  <w:rStyle w:val="Hyperlink"/>
                  <w:bCs/>
                </w:rPr>
                <w:t>Service Provider</w:t>
              </w:r>
            </w:hyperlink>
          </w:p>
        </w:tc>
        <w:tc>
          <w:tcPr>
            <w:tcW w:w="3412" w:type="dxa"/>
            <w:shd w:val="clear" w:color="auto" w:fill="94DCEF"/>
            <w:vAlign w:val="center"/>
          </w:tcPr>
          <w:p w14:paraId="577DDC3D" w14:textId="77777777" w:rsidR="00E77B5A" w:rsidRPr="00E77B5A" w:rsidRDefault="00E77B5A" w:rsidP="00E77B5A">
            <w:pPr>
              <w:pStyle w:val="BodyText"/>
              <w:rPr>
                <w:bCs/>
                <w:u w:val="single"/>
              </w:rPr>
            </w:pPr>
            <w:r w:rsidRPr="00E77B5A">
              <w:rPr>
                <w:b/>
                <w:bCs/>
              </w:rPr>
              <w:t>Relevant Values in Data Domain</w:t>
            </w:r>
          </w:p>
        </w:tc>
        <w:tc>
          <w:tcPr>
            <w:tcW w:w="2836" w:type="dxa"/>
            <w:shd w:val="clear" w:color="auto" w:fill="auto"/>
            <w:vAlign w:val="center"/>
          </w:tcPr>
          <w:p w14:paraId="1276F28B" w14:textId="77777777" w:rsidR="00E77B5A" w:rsidRPr="00E77B5A" w:rsidRDefault="00E77B5A" w:rsidP="00E77B5A">
            <w:pPr>
              <w:pStyle w:val="BodyText"/>
              <w:rPr>
                <w:bCs/>
                <w:u w:val="single"/>
              </w:rPr>
            </w:pPr>
            <w:r w:rsidRPr="00E77B5A">
              <w:rPr>
                <w:bCs/>
              </w:rPr>
              <w:t>Any value in data domain.</w:t>
            </w:r>
          </w:p>
        </w:tc>
      </w:tr>
    </w:tbl>
    <w:p w14:paraId="2D976EBC" w14:textId="6958AE7A" w:rsidR="00E77B5A" w:rsidRDefault="00E77B5A">
      <w:pPr>
        <w:rPr>
          <w:kern w:val="21"/>
          <w:lang w:val="en-AU"/>
          <w14:numSpacing w14:val="proportional"/>
        </w:rPr>
      </w:pPr>
    </w:p>
    <w:p w14:paraId="017558F5" w14:textId="77777777" w:rsidR="00E77B5A" w:rsidRPr="00E77B5A" w:rsidRDefault="00E77B5A" w:rsidP="00C03652">
      <w:pPr>
        <w:pStyle w:val="Heading1"/>
      </w:pPr>
      <w:bookmarkStart w:id="6" w:name="_Rule_3_–"/>
      <w:bookmarkStart w:id="7" w:name="_Toc128055670"/>
      <w:bookmarkStart w:id="8" w:name="_Toc137546421"/>
      <w:bookmarkStart w:id="9" w:name="_Toc168662787"/>
      <w:bookmarkEnd w:id="6"/>
      <w:r w:rsidRPr="00E77B5A">
        <w:t>Rule 3 – Admitted Patient Flag</w:t>
      </w:r>
      <w:bookmarkEnd w:id="7"/>
      <w:bookmarkEnd w:id="8"/>
      <w:bookmarkEnd w:id="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798"/>
        <w:gridCol w:w="9"/>
        <w:gridCol w:w="2462"/>
        <w:gridCol w:w="14"/>
        <w:gridCol w:w="1678"/>
        <w:gridCol w:w="3988"/>
        <w:gridCol w:w="2827"/>
      </w:tblGrid>
      <w:tr w:rsidR="00C03652" w:rsidRPr="00E77B5A" w14:paraId="6831A7E1" w14:textId="77777777" w:rsidTr="007C2700">
        <w:trPr>
          <w:trHeight w:val="540"/>
        </w:trPr>
        <w:tc>
          <w:tcPr>
            <w:tcW w:w="1970" w:type="dxa"/>
            <w:shd w:val="clear" w:color="auto" w:fill="001D47"/>
            <w:vAlign w:val="center"/>
            <w:hideMark/>
          </w:tcPr>
          <w:p w14:paraId="14B0C44A" w14:textId="77777777" w:rsidR="00C03652" w:rsidRPr="00E77B5A" w:rsidRDefault="00C03652" w:rsidP="00816D13">
            <w:pPr>
              <w:pStyle w:val="BodyText"/>
              <w:rPr>
                <w:b/>
                <w:bCs/>
                <w:color w:val="FFFFFF" w:themeColor="background1"/>
                <w:sz w:val="32"/>
                <w:szCs w:val="32"/>
              </w:rPr>
            </w:pPr>
            <w:r w:rsidRPr="00E77B5A">
              <w:rPr>
                <w:b/>
                <w:bCs/>
                <w:color w:val="FFFFFF" w:themeColor="background1"/>
                <w:sz w:val="32"/>
                <w:szCs w:val="32"/>
              </w:rPr>
              <w:t>Rule No.</w:t>
            </w:r>
          </w:p>
        </w:tc>
        <w:tc>
          <w:tcPr>
            <w:tcW w:w="798" w:type="dxa"/>
            <w:shd w:val="clear" w:color="auto" w:fill="B8E5FC"/>
            <w:vAlign w:val="center"/>
            <w:hideMark/>
          </w:tcPr>
          <w:p w14:paraId="5C67179C" w14:textId="7533E76D" w:rsidR="00C03652" w:rsidRPr="00E77B5A" w:rsidRDefault="00C03652" w:rsidP="00816D13">
            <w:pPr>
              <w:pStyle w:val="BodyText"/>
              <w:rPr>
                <w:b/>
                <w:bCs/>
                <w:color w:val="FFFFFF" w:themeColor="background1"/>
                <w:sz w:val="32"/>
                <w:szCs w:val="32"/>
              </w:rPr>
            </w:pPr>
            <w:r w:rsidRPr="00044550">
              <w:rPr>
                <w:b/>
                <w:bCs/>
                <w:sz w:val="32"/>
                <w:szCs w:val="32"/>
              </w:rPr>
              <w:t>3</w:t>
            </w:r>
          </w:p>
        </w:tc>
        <w:tc>
          <w:tcPr>
            <w:tcW w:w="2471" w:type="dxa"/>
            <w:gridSpan w:val="2"/>
            <w:shd w:val="clear" w:color="auto" w:fill="001D47"/>
            <w:vAlign w:val="center"/>
            <w:hideMark/>
          </w:tcPr>
          <w:p w14:paraId="7A019582" w14:textId="0A2A6FFD" w:rsidR="00C03652" w:rsidRPr="00E77B5A" w:rsidRDefault="007976F1" w:rsidP="00816D13">
            <w:pPr>
              <w:pStyle w:val="BodyText"/>
              <w:rPr>
                <w:b/>
                <w:bCs/>
                <w:color w:val="FFFFFF" w:themeColor="background1"/>
                <w:sz w:val="32"/>
                <w:szCs w:val="32"/>
              </w:rPr>
            </w:pPr>
            <w:r>
              <w:rPr>
                <w:b/>
                <w:bCs/>
                <w:color w:val="FFFFFF" w:themeColor="background1"/>
                <w:sz w:val="32"/>
                <w:szCs w:val="32"/>
              </w:rPr>
              <w:t>Business Rule</w:t>
            </w:r>
          </w:p>
        </w:tc>
        <w:tc>
          <w:tcPr>
            <w:tcW w:w="8507" w:type="dxa"/>
            <w:gridSpan w:val="4"/>
            <w:shd w:val="clear" w:color="auto" w:fill="B8E5FC"/>
            <w:vAlign w:val="center"/>
            <w:hideMark/>
          </w:tcPr>
          <w:p w14:paraId="29D19443" w14:textId="19170572" w:rsidR="00C03652" w:rsidRPr="00E77B5A" w:rsidRDefault="007976F1" w:rsidP="00816D13">
            <w:pPr>
              <w:pStyle w:val="BodyText"/>
              <w:rPr>
                <w:b/>
                <w:bCs/>
                <w:color w:val="FFFFFF" w:themeColor="background1"/>
                <w:sz w:val="32"/>
                <w:szCs w:val="32"/>
              </w:rPr>
            </w:pPr>
            <w:r w:rsidRPr="00E77B5A">
              <w:rPr>
                <w:bCs/>
              </w:rPr>
              <w:t>Flag patients who are admitted at the time of the reported service event.</w:t>
            </w:r>
          </w:p>
        </w:tc>
      </w:tr>
      <w:tr w:rsidR="00E77B5A" w:rsidRPr="00E77B5A" w14:paraId="26AA5A18" w14:textId="77777777" w:rsidTr="007C2700">
        <w:trPr>
          <w:trHeight w:val="315"/>
        </w:trPr>
        <w:tc>
          <w:tcPr>
            <w:tcW w:w="1970" w:type="dxa"/>
            <w:shd w:val="clear" w:color="auto" w:fill="94DCEF"/>
            <w:vAlign w:val="center"/>
          </w:tcPr>
          <w:p w14:paraId="7460A1C7" w14:textId="77777777" w:rsidR="00E77B5A" w:rsidRPr="00E77B5A" w:rsidRDefault="00E77B5A" w:rsidP="00E77B5A">
            <w:pPr>
              <w:pStyle w:val="BodyText"/>
              <w:rPr>
                <w:b/>
                <w:bCs/>
              </w:rPr>
            </w:pPr>
            <w:r w:rsidRPr="00E77B5A">
              <w:rPr>
                <w:b/>
                <w:bCs/>
              </w:rPr>
              <w:t>Business Process</w:t>
            </w:r>
          </w:p>
        </w:tc>
        <w:tc>
          <w:tcPr>
            <w:tcW w:w="11776" w:type="dxa"/>
            <w:gridSpan w:val="7"/>
            <w:shd w:val="clear" w:color="auto" w:fill="auto"/>
            <w:vAlign w:val="center"/>
          </w:tcPr>
          <w:p w14:paraId="53014784" w14:textId="77777777" w:rsidR="00164159" w:rsidRPr="007C2700" w:rsidRDefault="00E77B5A" w:rsidP="00164159">
            <w:pPr>
              <w:pStyle w:val="BodyText"/>
              <w:rPr>
                <w:b/>
                <w:u w:val="single"/>
              </w:rPr>
            </w:pPr>
            <w:r w:rsidRPr="007C2700">
              <w:rPr>
                <w:b/>
                <w:u w:val="single"/>
              </w:rPr>
              <w:t>Any non-admitted service event provided to a patient while they are an admitted patient should be reported to QHNAPDC but are unable to be reported as part of the Non-admitted Patient NBEDS.</w:t>
            </w:r>
          </w:p>
          <w:p w14:paraId="05FCA6AE" w14:textId="73E1661F" w:rsidR="00164159" w:rsidRPr="00E77B5A" w:rsidRDefault="00164159" w:rsidP="007C2700">
            <w:pPr>
              <w:pStyle w:val="BodyText"/>
            </w:pPr>
            <w:r w:rsidRPr="00E77B5A">
              <w:t>All QHNAPDC service events are checked against Queensland Hospital Admitted Patient Data Collection (QHAPDC) records and flagged where a patient's service event occurred during their admitted patient episode.</w:t>
            </w:r>
          </w:p>
          <w:p w14:paraId="4B572F16" w14:textId="631AF8A7" w:rsidR="00164159" w:rsidRPr="00E77B5A" w:rsidRDefault="00164159" w:rsidP="007C2700">
            <w:pPr>
              <w:pStyle w:val="BodyTextCondensed"/>
              <w:rPr>
                <w:bCs/>
              </w:rPr>
            </w:pPr>
            <w:r w:rsidRPr="00E77B5A">
              <w:t>If the date/time of a service event is between the start and end date/time (inclusive) for the same patient's episode of care, the Admitted Patient Flag is populated to ‘Y’.</w:t>
            </w:r>
          </w:p>
          <w:p w14:paraId="6AB63E99" w14:textId="77777777" w:rsidR="00164159" w:rsidRPr="00CE646D" w:rsidRDefault="00164159" w:rsidP="00164159">
            <w:pPr>
              <w:pStyle w:val="BodyText"/>
              <w:rPr>
                <w:b/>
                <w:color w:val="FF0000"/>
              </w:rPr>
            </w:pPr>
            <w:r w:rsidRPr="00CE646D">
              <w:rPr>
                <w:b/>
                <w:color w:val="FF0000"/>
              </w:rPr>
              <w:t>Exclusions:</w:t>
            </w:r>
          </w:p>
          <w:p w14:paraId="6C8C6B17" w14:textId="77777777" w:rsidR="00164159" w:rsidRPr="00E77B5A" w:rsidRDefault="00164159" w:rsidP="00164159">
            <w:pPr>
              <w:pStyle w:val="ListBullet"/>
            </w:pPr>
            <w:r w:rsidRPr="00E77B5A">
              <w:t>Admitted patients with a care type of ‘boarder’ or ‘organ procurement’.</w:t>
            </w:r>
          </w:p>
          <w:p w14:paraId="3A2B3559" w14:textId="61F546B1" w:rsidR="00164159" w:rsidRPr="00E77B5A" w:rsidRDefault="00164159" w:rsidP="00164159">
            <w:pPr>
              <w:pStyle w:val="BodyText"/>
              <w:rPr>
                <w:b/>
                <w:u w:val="single"/>
              </w:rPr>
            </w:pPr>
            <w:r w:rsidRPr="00E77B5A">
              <w:lastRenderedPageBreak/>
              <w:t>Service events with a ‘home delivered procedure’ CCC where the admitted patient episode does not cover every day of the month for the corresponding month during which the service event occurs.</w:t>
            </w:r>
          </w:p>
        </w:tc>
      </w:tr>
      <w:tr w:rsidR="00E77B5A" w:rsidRPr="00E77B5A" w14:paraId="789CD511" w14:textId="77777777" w:rsidTr="007C2700">
        <w:trPr>
          <w:trHeight w:val="616"/>
        </w:trPr>
        <w:tc>
          <w:tcPr>
            <w:tcW w:w="1970" w:type="dxa"/>
            <w:shd w:val="clear" w:color="auto" w:fill="94DCEF"/>
            <w:vAlign w:val="center"/>
            <w:hideMark/>
          </w:tcPr>
          <w:p w14:paraId="704F1E7C" w14:textId="77777777" w:rsidR="00E77B5A" w:rsidRPr="00E77B5A" w:rsidRDefault="00E77B5A" w:rsidP="00E77B5A">
            <w:pPr>
              <w:pStyle w:val="BodyText"/>
              <w:rPr>
                <w:b/>
                <w:bCs/>
              </w:rPr>
            </w:pPr>
            <w:r w:rsidRPr="00E77B5A">
              <w:rPr>
                <w:b/>
                <w:bCs/>
              </w:rPr>
              <w:lastRenderedPageBreak/>
              <w:t>File Format Item #</w:t>
            </w:r>
          </w:p>
        </w:tc>
        <w:tc>
          <w:tcPr>
            <w:tcW w:w="807" w:type="dxa"/>
            <w:gridSpan w:val="2"/>
            <w:shd w:val="clear" w:color="auto" w:fill="B8E5FC"/>
            <w:vAlign w:val="center"/>
            <w:hideMark/>
          </w:tcPr>
          <w:p w14:paraId="26517E19" w14:textId="77777777" w:rsidR="00E77B5A" w:rsidRPr="00E77B5A" w:rsidRDefault="00E77B5A" w:rsidP="00E77B5A">
            <w:pPr>
              <w:pStyle w:val="BodyText"/>
              <w:rPr>
                <w:bCs/>
              </w:rPr>
            </w:pPr>
            <w:r w:rsidRPr="00E77B5A">
              <w:rPr>
                <w:bCs/>
              </w:rPr>
              <w:t>N/A</w:t>
            </w:r>
          </w:p>
        </w:tc>
        <w:tc>
          <w:tcPr>
            <w:tcW w:w="2476" w:type="dxa"/>
            <w:gridSpan w:val="2"/>
            <w:shd w:val="clear" w:color="auto" w:fill="94DCEF"/>
            <w:vAlign w:val="center"/>
            <w:hideMark/>
          </w:tcPr>
          <w:p w14:paraId="1F5F5316" w14:textId="77777777" w:rsidR="00E77B5A" w:rsidRPr="00E77B5A" w:rsidRDefault="00E77B5A" w:rsidP="00E77B5A">
            <w:pPr>
              <w:pStyle w:val="BodyText"/>
              <w:rPr>
                <w:b/>
                <w:bCs/>
              </w:rPr>
            </w:pPr>
            <w:r w:rsidRPr="00E77B5A">
              <w:rPr>
                <w:b/>
                <w:bCs/>
              </w:rPr>
              <w:t>File Format Data Item</w:t>
            </w:r>
          </w:p>
        </w:tc>
        <w:tc>
          <w:tcPr>
            <w:tcW w:w="1678" w:type="dxa"/>
            <w:shd w:val="clear" w:color="auto" w:fill="B8E5FC"/>
            <w:vAlign w:val="center"/>
            <w:hideMark/>
          </w:tcPr>
          <w:p w14:paraId="270329D7" w14:textId="77777777" w:rsidR="00E77B5A" w:rsidRPr="00E77B5A" w:rsidRDefault="00E77B5A" w:rsidP="00E77B5A">
            <w:pPr>
              <w:pStyle w:val="BodyText"/>
              <w:rPr>
                <w:bCs/>
                <w:u w:val="single"/>
              </w:rPr>
            </w:pPr>
            <w:r w:rsidRPr="00E77B5A">
              <w:rPr>
                <w:bCs/>
              </w:rPr>
              <w:t>N/A</w:t>
            </w:r>
          </w:p>
        </w:tc>
        <w:tc>
          <w:tcPr>
            <w:tcW w:w="3988" w:type="dxa"/>
            <w:shd w:val="clear" w:color="auto" w:fill="94DCEF"/>
            <w:vAlign w:val="center"/>
          </w:tcPr>
          <w:p w14:paraId="3F68F572" w14:textId="77777777" w:rsidR="00E77B5A" w:rsidRPr="00E77B5A" w:rsidRDefault="00E77B5A" w:rsidP="00E77B5A">
            <w:pPr>
              <w:pStyle w:val="BodyText"/>
              <w:rPr>
                <w:bCs/>
                <w:u w:val="single"/>
              </w:rPr>
            </w:pPr>
            <w:r w:rsidRPr="00E77B5A">
              <w:rPr>
                <w:b/>
                <w:bCs/>
              </w:rPr>
              <w:t>Relevant Values in Data Domain</w:t>
            </w:r>
          </w:p>
        </w:tc>
        <w:tc>
          <w:tcPr>
            <w:tcW w:w="2827" w:type="dxa"/>
            <w:shd w:val="clear" w:color="auto" w:fill="auto"/>
            <w:vAlign w:val="center"/>
          </w:tcPr>
          <w:p w14:paraId="389CF62C" w14:textId="77777777" w:rsidR="00E77B5A" w:rsidRPr="00E77B5A" w:rsidRDefault="00E77B5A" w:rsidP="00E77B5A">
            <w:pPr>
              <w:pStyle w:val="BodyText"/>
              <w:rPr>
                <w:bCs/>
                <w:u w:val="single"/>
              </w:rPr>
            </w:pPr>
            <w:r w:rsidRPr="00E77B5A">
              <w:rPr>
                <w:bCs/>
              </w:rPr>
              <w:t>N/A</w:t>
            </w:r>
          </w:p>
        </w:tc>
      </w:tr>
    </w:tbl>
    <w:p w14:paraId="75AC5E2B" w14:textId="6DB54211" w:rsidR="007976F1" w:rsidRDefault="007976F1" w:rsidP="007C2700">
      <w:pPr>
        <w:pStyle w:val="BodyText"/>
      </w:pPr>
      <w:bookmarkStart w:id="10" w:name="_Rule_4_–"/>
      <w:bookmarkStart w:id="11" w:name="_Toc128055671"/>
      <w:bookmarkStart w:id="12" w:name="_Toc137546422"/>
      <w:bookmarkEnd w:id="10"/>
    </w:p>
    <w:p w14:paraId="070A1308" w14:textId="197341B4" w:rsidR="00E77B5A" w:rsidRPr="00E77B5A" w:rsidRDefault="00E77B5A" w:rsidP="00120109">
      <w:pPr>
        <w:pStyle w:val="Heading1"/>
      </w:pPr>
      <w:bookmarkStart w:id="13" w:name="_Toc168662788"/>
      <w:r w:rsidRPr="00E77B5A">
        <w:t>Rule 4 – Emergency Department Flag</w:t>
      </w:r>
      <w:bookmarkEnd w:id="11"/>
      <w:bookmarkEnd w:id="12"/>
      <w:bookmarkEnd w:id="13"/>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5"/>
        <w:gridCol w:w="702"/>
        <w:gridCol w:w="2478"/>
        <w:gridCol w:w="2243"/>
        <w:gridCol w:w="3424"/>
        <w:gridCol w:w="2824"/>
      </w:tblGrid>
      <w:tr w:rsidR="00E77B5A" w:rsidRPr="00E77B5A" w14:paraId="64F75CFF" w14:textId="77777777" w:rsidTr="00164159">
        <w:trPr>
          <w:trHeight w:val="540"/>
        </w:trPr>
        <w:tc>
          <w:tcPr>
            <w:tcW w:w="2075" w:type="dxa"/>
            <w:shd w:val="clear" w:color="auto" w:fill="001D47"/>
            <w:vAlign w:val="center"/>
            <w:hideMark/>
          </w:tcPr>
          <w:p w14:paraId="2888C37E" w14:textId="77777777" w:rsidR="00E77B5A" w:rsidRPr="00E77B5A" w:rsidRDefault="00E77B5A" w:rsidP="00E77B5A">
            <w:pPr>
              <w:pStyle w:val="BodyText"/>
              <w:rPr>
                <w:b/>
                <w:bCs/>
              </w:rPr>
            </w:pPr>
            <w:r w:rsidRPr="00120109">
              <w:rPr>
                <w:b/>
                <w:bCs/>
                <w:color w:val="FFFFFF" w:themeColor="background1"/>
                <w:sz w:val="32"/>
                <w:szCs w:val="32"/>
              </w:rPr>
              <w:t>Rule No.</w:t>
            </w:r>
          </w:p>
        </w:tc>
        <w:tc>
          <w:tcPr>
            <w:tcW w:w="702" w:type="dxa"/>
            <w:shd w:val="clear" w:color="auto" w:fill="B8E5FC"/>
            <w:vAlign w:val="center"/>
            <w:hideMark/>
          </w:tcPr>
          <w:p w14:paraId="21C08B59" w14:textId="77777777" w:rsidR="00E77B5A" w:rsidRPr="00E77B5A" w:rsidRDefault="00E77B5A" w:rsidP="00E77B5A">
            <w:pPr>
              <w:pStyle w:val="BodyText"/>
              <w:rPr>
                <w:b/>
                <w:bCs/>
              </w:rPr>
            </w:pPr>
            <w:r w:rsidRPr="00120109">
              <w:rPr>
                <w:b/>
                <w:bCs/>
                <w:sz w:val="32"/>
                <w:szCs w:val="32"/>
              </w:rPr>
              <w:t>4</w:t>
            </w:r>
          </w:p>
        </w:tc>
        <w:tc>
          <w:tcPr>
            <w:tcW w:w="2478" w:type="dxa"/>
            <w:shd w:val="clear" w:color="auto" w:fill="001D47"/>
            <w:vAlign w:val="center"/>
            <w:hideMark/>
          </w:tcPr>
          <w:p w14:paraId="72AE8F40" w14:textId="443FAF6B" w:rsidR="00E77B5A" w:rsidRPr="00E77B5A" w:rsidRDefault="007976F1" w:rsidP="00E77B5A">
            <w:pPr>
              <w:pStyle w:val="BodyText"/>
              <w:rPr>
                <w:b/>
                <w:bCs/>
              </w:rPr>
            </w:pPr>
            <w:r>
              <w:rPr>
                <w:b/>
                <w:bCs/>
                <w:color w:val="FFFFFF" w:themeColor="background1"/>
                <w:sz w:val="32"/>
                <w:szCs w:val="32"/>
              </w:rPr>
              <w:t>Business Rule</w:t>
            </w:r>
          </w:p>
        </w:tc>
        <w:tc>
          <w:tcPr>
            <w:tcW w:w="8491" w:type="dxa"/>
            <w:gridSpan w:val="3"/>
            <w:shd w:val="clear" w:color="auto" w:fill="B8E5FC"/>
            <w:vAlign w:val="center"/>
            <w:hideMark/>
          </w:tcPr>
          <w:p w14:paraId="2DBA73C0" w14:textId="5A397EA0" w:rsidR="00E77B5A" w:rsidRPr="00E77B5A" w:rsidRDefault="007976F1" w:rsidP="00E77B5A">
            <w:pPr>
              <w:pStyle w:val="BodyText"/>
              <w:rPr>
                <w:b/>
                <w:bCs/>
              </w:rPr>
            </w:pPr>
            <w:r w:rsidRPr="00E77B5A">
              <w:rPr>
                <w:bCs/>
              </w:rPr>
              <w:t>Flag patients who are attending Emergency Department/Service at the time of the reported service event.</w:t>
            </w:r>
          </w:p>
        </w:tc>
      </w:tr>
      <w:tr w:rsidR="00E77B5A" w:rsidRPr="00E77B5A" w14:paraId="40A22770" w14:textId="77777777" w:rsidTr="00164159">
        <w:trPr>
          <w:trHeight w:val="315"/>
        </w:trPr>
        <w:tc>
          <w:tcPr>
            <w:tcW w:w="2075" w:type="dxa"/>
            <w:shd w:val="clear" w:color="auto" w:fill="94DCEF"/>
            <w:vAlign w:val="center"/>
          </w:tcPr>
          <w:p w14:paraId="0E8A2D40" w14:textId="77777777" w:rsidR="00E77B5A" w:rsidRPr="00E77B5A" w:rsidRDefault="00E77B5A" w:rsidP="00E77B5A">
            <w:pPr>
              <w:pStyle w:val="BodyText"/>
              <w:rPr>
                <w:b/>
                <w:bCs/>
              </w:rPr>
            </w:pPr>
            <w:r w:rsidRPr="00E77B5A">
              <w:rPr>
                <w:b/>
                <w:bCs/>
              </w:rPr>
              <w:t>Business Process</w:t>
            </w:r>
          </w:p>
        </w:tc>
        <w:tc>
          <w:tcPr>
            <w:tcW w:w="11671" w:type="dxa"/>
            <w:gridSpan w:val="5"/>
            <w:shd w:val="clear" w:color="auto" w:fill="auto"/>
            <w:vAlign w:val="center"/>
          </w:tcPr>
          <w:p w14:paraId="03A004F9" w14:textId="5CBA0F60" w:rsidR="00164159" w:rsidRPr="007C2700" w:rsidRDefault="00E77B5A" w:rsidP="00164159">
            <w:pPr>
              <w:pStyle w:val="BodyText"/>
              <w:rPr>
                <w:b/>
                <w:u w:val="single"/>
              </w:rPr>
            </w:pPr>
            <w:r w:rsidRPr="007C2700">
              <w:rPr>
                <w:b/>
                <w:u w:val="single"/>
              </w:rPr>
              <w:t>Any non-admitted service event provided to a patient within the time of their Emergency Department (ED) attendance is assigned an ED flag for exclusion from reporting to the Non-admitted Patient NBEDS to both the IHACPA and the AIHW</w:t>
            </w:r>
            <w:r w:rsidR="003753F8" w:rsidRPr="007C2700">
              <w:rPr>
                <w:b/>
                <w:u w:val="single"/>
              </w:rPr>
              <w:t xml:space="preserve">. </w:t>
            </w:r>
            <w:r w:rsidRPr="007C2700">
              <w:rPr>
                <w:b/>
                <w:u w:val="single"/>
              </w:rPr>
              <w:t>These service events are in scope for reporting to QHNAPDC for statistical purposes.</w:t>
            </w:r>
          </w:p>
          <w:p w14:paraId="065A50FE" w14:textId="77777777" w:rsidR="00164159" w:rsidRDefault="00164159" w:rsidP="00164159">
            <w:pPr>
              <w:pStyle w:val="BodyText"/>
              <w:rPr>
                <w:bCs/>
              </w:rPr>
            </w:pPr>
            <w:r w:rsidRPr="00E77B5A">
              <w:rPr>
                <w:bCs/>
              </w:rPr>
              <w:t>All QHNAPDC service events are checked against a snapshot of the EDIS Repository data set provided by the Healthcare Improvement Unit to the Statistical Services Branch.</w:t>
            </w:r>
          </w:p>
          <w:p w14:paraId="69C43E40" w14:textId="17CCAE0D" w:rsidR="00164159" w:rsidRPr="00E77B5A" w:rsidRDefault="00164159" w:rsidP="00164159">
            <w:pPr>
              <w:pStyle w:val="BodyText"/>
              <w:rPr>
                <w:bCs/>
              </w:rPr>
            </w:pPr>
            <w:r w:rsidRPr="00E77B5A">
              <w:rPr>
                <w:bCs/>
              </w:rPr>
              <w:t>If the date/time of a service event is between the start and end date/time (inclusive) for the same patient's emergency department attendance, then the Emergency Department Flag is populated to ‘Y’.</w:t>
            </w:r>
          </w:p>
          <w:p w14:paraId="28950A46" w14:textId="77777777" w:rsidR="00164159" w:rsidRPr="00DE2899" w:rsidRDefault="00164159" w:rsidP="00164159">
            <w:pPr>
              <w:pStyle w:val="BodyText"/>
              <w:rPr>
                <w:b/>
                <w:color w:val="FF0000"/>
              </w:rPr>
            </w:pPr>
            <w:r w:rsidRPr="00DE2899">
              <w:rPr>
                <w:b/>
                <w:color w:val="FF0000"/>
              </w:rPr>
              <w:t>Exclusions:</w:t>
            </w:r>
          </w:p>
          <w:p w14:paraId="65F69AEB" w14:textId="78B7DDEB" w:rsidR="00164159" w:rsidRPr="00E77B5A" w:rsidRDefault="00164159" w:rsidP="00164159">
            <w:pPr>
              <w:pStyle w:val="BodyText"/>
              <w:rPr>
                <w:b/>
                <w:u w:val="single"/>
              </w:rPr>
            </w:pPr>
            <w:r w:rsidRPr="00E77B5A">
              <w:t>Service events with a ‘home delivered procedure’ CCC.</w:t>
            </w:r>
          </w:p>
        </w:tc>
      </w:tr>
      <w:tr w:rsidR="00E77B5A" w:rsidRPr="00E77B5A" w14:paraId="28DD933C" w14:textId="77777777" w:rsidTr="007C2700">
        <w:trPr>
          <w:trHeight w:val="315"/>
        </w:trPr>
        <w:tc>
          <w:tcPr>
            <w:tcW w:w="2075" w:type="dxa"/>
            <w:shd w:val="clear" w:color="auto" w:fill="94DCEF"/>
            <w:vAlign w:val="center"/>
            <w:hideMark/>
          </w:tcPr>
          <w:p w14:paraId="27CFD1CD" w14:textId="77777777" w:rsidR="00E77B5A" w:rsidRPr="00E77B5A" w:rsidRDefault="00E77B5A" w:rsidP="00E77B5A">
            <w:pPr>
              <w:pStyle w:val="BodyText"/>
              <w:rPr>
                <w:b/>
                <w:bCs/>
              </w:rPr>
            </w:pPr>
            <w:r w:rsidRPr="00E77B5A">
              <w:rPr>
                <w:b/>
                <w:bCs/>
              </w:rPr>
              <w:t>File Format Item #</w:t>
            </w:r>
          </w:p>
        </w:tc>
        <w:tc>
          <w:tcPr>
            <w:tcW w:w="702" w:type="dxa"/>
            <w:shd w:val="clear" w:color="auto" w:fill="B8E5FC"/>
            <w:vAlign w:val="center"/>
            <w:hideMark/>
          </w:tcPr>
          <w:p w14:paraId="6AB05E57" w14:textId="77777777" w:rsidR="00E77B5A" w:rsidRPr="00E77B5A" w:rsidRDefault="00E77B5A" w:rsidP="00E77B5A">
            <w:pPr>
              <w:pStyle w:val="BodyText"/>
              <w:rPr>
                <w:bCs/>
              </w:rPr>
            </w:pPr>
            <w:r w:rsidRPr="00E77B5A">
              <w:rPr>
                <w:bCs/>
              </w:rPr>
              <w:t>N/A</w:t>
            </w:r>
          </w:p>
        </w:tc>
        <w:tc>
          <w:tcPr>
            <w:tcW w:w="2478" w:type="dxa"/>
            <w:shd w:val="clear" w:color="auto" w:fill="94DCEF"/>
            <w:vAlign w:val="center"/>
            <w:hideMark/>
          </w:tcPr>
          <w:p w14:paraId="0B202AA4" w14:textId="77777777" w:rsidR="00E77B5A" w:rsidRPr="00E77B5A" w:rsidRDefault="00E77B5A" w:rsidP="00E77B5A">
            <w:pPr>
              <w:pStyle w:val="BodyText"/>
              <w:rPr>
                <w:b/>
                <w:bCs/>
              </w:rPr>
            </w:pPr>
            <w:r w:rsidRPr="00E77B5A">
              <w:rPr>
                <w:b/>
                <w:bCs/>
              </w:rPr>
              <w:t>File Format Data Item</w:t>
            </w:r>
          </w:p>
        </w:tc>
        <w:tc>
          <w:tcPr>
            <w:tcW w:w="2243" w:type="dxa"/>
            <w:shd w:val="clear" w:color="auto" w:fill="B8E5FC"/>
            <w:vAlign w:val="center"/>
            <w:hideMark/>
          </w:tcPr>
          <w:p w14:paraId="6C1092CB" w14:textId="77777777" w:rsidR="00E77B5A" w:rsidRPr="00E77B5A" w:rsidRDefault="00E77B5A" w:rsidP="00E77B5A">
            <w:pPr>
              <w:pStyle w:val="BodyText"/>
              <w:rPr>
                <w:bCs/>
                <w:u w:val="single"/>
              </w:rPr>
            </w:pPr>
            <w:r w:rsidRPr="00E77B5A">
              <w:rPr>
                <w:bCs/>
              </w:rPr>
              <w:t>N/A</w:t>
            </w:r>
          </w:p>
        </w:tc>
        <w:tc>
          <w:tcPr>
            <w:tcW w:w="3424" w:type="dxa"/>
            <w:shd w:val="clear" w:color="auto" w:fill="94DCEF"/>
            <w:vAlign w:val="center"/>
          </w:tcPr>
          <w:p w14:paraId="52DC5EF2" w14:textId="77777777" w:rsidR="00E77B5A" w:rsidRPr="00E77B5A" w:rsidRDefault="00E77B5A" w:rsidP="00E77B5A">
            <w:pPr>
              <w:pStyle w:val="BodyText"/>
              <w:rPr>
                <w:bCs/>
                <w:u w:val="single"/>
              </w:rPr>
            </w:pPr>
            <w:r w:rsidRPr="00E77B5A">
              <w:rPr>
                <w:b/>
                <w:bCs/>
              </w:rPr>
              <w:t>Relevant Values in Data Domain</w:t>
            </w:r>
          </w:p>
        </w:tc>
        <w:tc>
          <w:tcPr>
            <w:tcW w:w="2824" w:type="dxa"/>
            <w:shd w:val="clear" w:color="auto" w:fill="auto"/>
            <w:vAlign w:val="center"/>
          </w:tcPr>
          <w:p w14:paraId="6B3344A6" w14:textId="77777777" w:rsidR="00E77B5A" w:rsidRPr="00E77B5A" w:rsidRDefault="00E77B5A" w:rsidP="00E77B5A">
            <w:pPr>
              <w:pStyle w:val="BodyText"/>
              <w:rPr>
                <w:bCs/>
                <w:u w:val="single"/>
              </w:rPr>
            </w:pPr>
            <w:r w:rsidRPr="00E77B5A">
              <w:rPr>
                <w:bCs/>
              </w:rPr>
              <w:t>N/A</w:t>
            </w:r>
          </w:p>
        </w:tc>
      </w:tr>
    </w:tbl>
    <w:p w14:paraId="4A59494F" w14:textId="77777777" w:rsidR="00E77B5A" w:rsidRPr="00E77B5A" w:rsidRDefault="00E77B5A" w:rsidP="00B524D5">
      <w:pPr>
        <w:pStyle w:val="Heading1"/>
      </w:pPr>
      <w:r w:rsidRPr="00E77B5A">
        <w:br w:type="page"/>
      </w:r>
      <w:bookmarkStart w:id="14" w:name="_Toc128055672"/>
      <w:bookmarkStart w:id="15" w:name="_Toc137546423"/>
      <w:bookmarkStart w:id="16" w:name="_Toc168662789"/>
      <w:r w:rsidRPr="00E77B5A">
        <w:lastRenderedPageBreak/>
        <w:t>Rule 5 – AIHW/IHACPA Reporting</w:t>
      </w:r>
      <w:bookmarkEnd w:id="14"/>
      <w:bookmarkEnd w:id="15"/>
      <w:bookmarkEnd w:id="16"/>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2"/>
        <w:gridCol w:w="695"/>
        <w:gridCol w:w="2476"/>
        <w:gridCol w:w="3106"/>
        <w:gridCol w:w="3260"/>
        <w:gridCol w:w="2137"/>
      </w:tblGrid>
      <w:tr w:rsidR="00E77B5A" w:rsidRPr="00E77B5A" w14:paraId="5DA39615" w14:textId="77777777" w:rsidTr="00FB0D79">
        <w:trPr>
          <w:trHeight w:val="540"/>
        </w:trPr>
        <w:tc>
          <w:tcPr>
            <w:tcW w:w="2072" w:type="dxa"/>
            <w:shd w:val="clear" w:color="auto" w:fill="001D47"/>
            <w:vAlign w:val="center"/>
            <w:hideMark/>
          </w:tcPr>
          <w:p w14:paraId="5E5E2C8C" w14:textId="77777777" w:rsidR="00E77B5A" w:rsidRPr="00E77B5A" w:rsidRDefault="00E77B5A" w:rsidP="00E77B5A">
            <w:pPr>
              <w:pStyle w:val="BodyText"/>
              <w:rPr>
                <w:b/>
                <w:bCs/>
              </w:rPr>
            </w:pPr>
            <w:r w:rsidRPr="00B524D5">
              <w:rPr>
                <w:b/>
                <w:bCs/>
                <w:color w:val="FFFFFF" w:themeColor="background1"/>
                <w:sz w:val="32"/>
                <w:szCs w:val="32"/>
              </w:rPr>
              <w:t>Rule No.</w:t>
            </w:r>
          </w:p>
        </w:tc>
        <w:tc>
          <w:tcPr>
            <w:tcW w:w="695" w:type="dxa"/>
            <w:shd w:val="clear" w:color="auto" w:fill="B8E5FC"/>
            <w:vAlign w:val="center"/>
            <w:hideMark/>
          </w:tcPr>
          <w:p w14:paraId="5DDFD052" w14:textId="77777777" w:rsidR="00E77B5A" w:rsidRPr="00E77B5A" w:rsidRDefault="00E77B5A" w:rsidP="00E77B5A">
            <w:pPr>
              <w:pStyle w:val="BodyText"/>
              <w:rPr>
                <w:b/>
                <w:bCs/>
              </w:rPr>
            </w:pPr>
            <w:r w:rsidRPr="00B524D5">
              <w:rPr>
                <w:b/>
                <w:bCs/>
                <w:sz w:val="32"/>
                <w:szCs w:val="32"/>
              </w:rPr>
              <w:t>5</w:t>
            </w:r>
          </w:p>
        </w:tc>
        <w:tc>
          <w:tcPr>
            <w:tcW w:w="2476" w:type="dxa"/>
            <w:shd w:val="clear" w:color="auto" w:fill="001D47"/>
            <w:vAlign w:val="center"/>
            <w:hideMark/>
          </w:tcPr>
          <w:p w14:paraId="6E47D558" w14:textId="6143612F" w:rsidR="00E77B5A" w:rsidRPr="00E77B5A" w:rsidRDefault="00320415" w:rsidP="00E77B5A">
            <w:pPr>
              <w:pStyle w:val="BodyText"/>
              <w:rPr>
                <w:b/>
                <w:bCs/>
              </w:rPr>
            </w:pPr>
            <w:r>
              <w:rPr>
                <w:b/>
                <w:bCs/>
                <w:color w:val="FFFFFF" w:themeColor="background1"/>
                <w:sz w:val="32"/>
                <w:szCs w:val="32"/>
              </w:rPr>
              <w:t>Business Rule</w:t>
            </w:r>
          </w:p>
        </w:tc>
        <w:tc>
          <w:tcPr>
            <w:tcW w:w="8503" w:type="dxa"/>
            <w:gridSpan w:val="3"/>
            <w:shd w:val="clear" w:color="auto" w:fill="B8E5FC"/>
            <w:vAlign w:val="center"/>
            <w:hideMark/>
          </w:tcPr>
          <w:p w14:paraId="54D07EF6" w14:textId="70F42DD3" w:rsidR="00E77B5A" w:rsidRPr="00E77B5A" w:rsidRDefault="007976F1" w:rsidP="00E77B5A">
            <w:pPr>
              <w:pStyle w:val="BodyText"/>
              <w:rPr>
                <w:b/>
                <w:bCs/>
              </w:rPr>
            </w:pPr>
            <w:r>
              <w:rPr>
                <w:bCs/>
              </w:rPr>
              <w:t>AIHW/</w:t>
            </w:r>
            <w:r w:rsidRPr="00E77B5A">
              <w:rPr>
                <w:bCs/>
              </w:rPr>
              <w:t>IHACPA Reportable Flag</w:t>
            </w:r>
          </w:p>
        </w:tc>
      </w:tr>
      <w:tr w:rsidR="00E77B5A" w:rsidRPr="00E77B5A" w14:paraId="1F52F023" w14:textId="77777777" w:rsidTr="00FB0D79">
        <w:trPr>
          <w:trHeight w:val="315"/>
        </w:trPr>
        <w:tc>
          <w:tcPr>
            <w:tcW w:w="2072" w:type="dxa"/>
            <w:shd w:val="clear" w:color="auto" w:fill="94DCEF"/>
            <w:vAlign w:val="center"/>
          </w:tcPr>
          <w:p w14:paraId="2BE5287A" w14:textId="77777777" w:rsidR="00E77B5A" w:rsidRPr="00E77B5A" w:rsidRDefault="00E77B5A" w:rsidP="00E77B5A">
            <w:pPr>
              <w:pStyle w:val="BodyText"/>
              <w:rPr>
                <w:b/>
                <w:bCs/>
              </w:rPr>
            </w:pPr>
            <w:r w:rsidRPr="00E77B5A">
              <w:rPr>
                <w:b/>
                <w:bCs/>
              </w:rPr>
              <w:t>Business Process</w:t>
            </w:r>
          </w:p>
        </w:tc>
        <w:tc>
          <w:tcPr>
            <w:tcW w:w="11674" w:type="dxa"/>
            <w:gridSpan w:val="5"/>
            <w:shd w:val="clear" w:color="auto" w:fill="auto"/>
            <w:vAlign w:val="center"/>
          </w:tcPr>
          <w:p w14:paraId="7D092EA7" w14:textId="6F155510" w:rsidR="00FB0D79" w:rsidRPr="007C2700" w:rsidRDefault="00FB0D79" w:rsidP="00E77B5A">
            <w:pPr>
              <w:pStyle w:val="BodyText"/>
              <w:rPr>
                <w:bCs/>
                <w:color w:val="auto"/>
              </w:rPr>
            </w:pPr>
            <w:r>
              <w:rPr>
                <w:bCs/>
                <w:color w:val="auto"/>
              </w:rPr>
              <w:t>In addition to those service events flagged as reportable</w:t>
            </w:r>
            <w:r w:rsidR="00430D49">
              <w:rPr>
                <w:bCs/>
                <w:color w:val="auto"/>
              </w:rPr>
              <w:t xml:space="preserve"> or not detailed in Business Rule 1, further flagging conditions are as follows:</w:t>
            </w:r>
          </w:p>
          <w:p w14:paraId="79066E26" w14:textId="64B4896E" w:rsidR="00340C85" w:rsidRDefault="00340C85" w:rsidP="00E77B5A">
            <w:pPr>
              <w:pStyle w:val="BodyText"/>
              <w:rPr>
                <w:b/>
                <w:color w:val="FF0000"/>
              </w:rPr>
            </w:pPr>
            <w:r w:rsidRPr="007C2700">
              <w:rPr>
                <w:b/>
                <w:color w:val="FF0000"/>
              </w:rPr>
              <w:t xml:space="preserve">Reportable to the </w:t>
            </w:r>
            <w:r w:rsidR="002D21B7">
              <w:rPr>
                <w:b/>
                <w:color w:val="FF0000"/>
              </w:rPr>
              <w:t xml:space="preserve">AIHW and the </w:t>
            </w:r>
            <w:r w:rsidRPr="007C2700">
              <w:rPr>
                <w:b/>
                <w:color w:val="FF0000"/>
              </w:rPr>
              <w:t>IHACPA</w:t>
            </w:r>
            <w:r>
              <w:rPr>
                <w:b/>
                <w:color w:val="FF0000"/>
              </w:rPr>
              <w:t>– IHACPA Reportable Flag set to ‘Y’</w:t>
            </w:r>
          </w:p>
          <w:p w14:paraId="59D4DB16" w14:textId="77777777" w:rsidR="002D21B7" w:rsidRPr="00E77B5A" w:rsidRDefault="002D21B7" w:rsidP="007C2700">
            <w:pPr>
              <w:pStyle w:val="BodyText"/>
              <w:numPr>
                <w:ilvl w:val="0"/>
                <w:numId w:val="10"/>
              </w:numPr>
              <w:rPr>
                <w:b/>
              </w:rPr>
            </w:pPr>
            <w:r w:rsidRPr="00E77B5A">
              <w:rPr>
                <w:b/>
              </w:rPr>
              <w:t>MDCC Service Events</w:t>
            </w:r>
          </w:p>
          <w:p w14:paraId="150C7FA2" w14:textId="1C23B219" w:rsidR="00340C85" w:rsidRDefault="002D21B7" w:rsidP="00E77B5A">
            <w:pPr>
              <w:pStyle w:val="BodyText"/>
            </w:pPr>
            <w:r w:rsidRPr="00E77B5A">
              <w:t>Where the Multiple Health Care Provider indicator = ‘1’ – Yes, and the Patient not present indicator = ‘1’ – Yes, then the IHACPA Reportable Flag is set to ‘Y’ - i.e., the service event is reportable to the AIHW/IHACPA.</w:t>
            </w:r>
          </w:p>
          <w:p w14:paraId="54720D4A" w14:textId="77777777" w:rsidR="002D21B7" w:rsidRPr="00E77B5A" w:rsidRDefault="002D21B7" w:rsidP="002D21B7">
            <w:pPr>
              <w:pStyle w:val="BodyText"/>
              <w:rPr>
                <w:bCs/>
              </w:rPr>
            </w:pPr>
            <w:r w:rsidRPr="00E77B5A">
              <w:t xml:space="preserve">For a service event to be classified as an MDCC service event, both the Multiple Health Care Provider indicator and the Patient not present indicator must = </w:t>
            </w:r>
            <w:r w:rsidRPr="00E77B5A">
              <w:rPr>
                <w:bCs/>
              </w:rPr>
              <w:t>‘</w:t>
            </w:r>
            <w:r w:rsidRPr="00E77B5A">
              <w:t>1</w:t>
            </w:r>
            <w:r w:rsidRPr="00E77B5A">
              <w:rPr>
                <w:bCs/>
              </w:rPr>
              <w:t>’</w:t>
            </w:r>
            <w:r w:rsidRPr="00E77B5A">
              <w:t xml:space="preserve"> – Yes.</w:t>
            </w:r>
          </w:p>
          <w:p w14:paraId="58EF6558" w14:textId="1669A323" w:rsidR="00340C85" w:rsidRPr="007C2700" w:rsidRDefault="00340C85" w:rsidP="00E77B5A">
            <w:pPr>
              <w:pStyle w:val="BodyText"/>
              <w:rPr>
                <w:b/>
                <w:color w:val="FF0000"/>
              </w:rPr>
            </w:pPr>
            <w:r>
              <w:rPr>
                <w:b/>
                <w:color w:val="FF0000"/>
              </w:rPr>
              <w:t xml:space="preserve">Not reportable to the </w:t>
            </w:r>
            <w:r w:rsidR="002D21B7">
              <w:rPr>
                <w:b/>
                <w:color w:val="FF0000"/>
              </w:rPr>
              <w:t xml:space="preserve">AIHW or the </w:t>
            </w:r>
            <w:r>
              <w:rPr>
                <w:b/>
                <w:color w:val="FF0000"/>
              </w:rPr>
              <w:t>IHACPA – IHACPA Reportable Flag set to ‘N’</w:t>
            </w:r>
          </w:p>
          <w:p w14:paraId="114E9003" w14:textId="4A90D548" w:rsidR="00E77B5A" w:rsidRPr="00E77B5A" w:rsidRDefault="00E77B5A" w:rsidP="007C2700">
            <w:pPr>
              <w:pStyle w:val="BodyText"/>
              <w:numPr>
                <w:ilvl w:val="0"/>
                <w:numId w:val="10"/>
              </w:numPr>
              <w:rPr>
                <w:b/>
              </w:rPr>
            </w:pPr>
            <w:r w:rsidRPr="00E77B5A">
              <w:rPr>
                <w:b/>
              </w:rPr>
              <w:t>Admitted Patient or Emergency Department Patient Flag</w:t>
            </w:r>
            <w:r w:rsidR="002D21B7">
              <w:rPr>
                <w:b/>
              </w:rPr>
              <w:t>ged Service Events</w:t>
            </w:r>
          </w:p>
          <w:p w14:paraId="4308A5C6" w14:textId="7D7BC862" w:rsidR="00340C85" w:rsidRPr="00E77B5A" w:rsidRDefault="00340C85" w:rsidP="00340C85">
            <w:pPr>
              <w:pStyle w:val="BodyText"/>
              <w:rPr>
                <w:bCs/>
              </w:rPr>
            </w:pPr>
            <w:r>
              <w:t>B</w:t>
            </w:r>
            <w:r w:rsidRPr="00E77B5A">
              <w:t xml:space="preserve">usiness rules 3 and 4 </w:t>
            </w:r>
            <w:r>
              <w:t>are</w:t>
            </w:r>
            <w:r w:rsidRPr="00E77B5A">
              <w:t xml:space="preserve"> </w:t>
            </w:r>
            <w:r>
              <w:t>executed</w:t>
            </w:r>
            <w:r w:rsidRPr="00E77B5A">
              <w:t xml:space="preserve"> by the QHNAPDC system prior to the execution of this rule (5)</w:t>
            </w:r>
            <w:r>
              <w:t xml:space="preserve"> to apply the</w:t>
            </w:r>
            <w:r w:rsidR="002D21B7">
              <w:t xml:space="preserve"> admitted and ED </w:t>
            </w:r>
            <w:r>
              <w:t>flags to service event records where patients are admitted or attending the ED at the time of</w:t>
            </w:r>
            <w:r w:rsidR="002D21B7">
              <w:t xml:space="preserve"> the service event</w:t>
            </w:r>
            <w:r w:rsidRPr="00E77B5A">
              <w:t>.</w:t>
            </w:r>
          </w:p>
          <w:p w14:paraId="0DF785B4" w14:textId="4EB683C2" w:rsidR="00E77B5A" w:rsidRPr="00E77B5A" w:rsidRDefault="00E77B5A" w:rsidP="00E77B5A">
            <w:pPr>
              <w:pStyle w:val="BodyText"/>
              <w:rPr>
                <w:bCs/>
              </w:rPr>
            </w:pPr>
            <w:r w:rsidRPr="00E77B5A">
              <w:rPr>
                <w:bCs/>
              </w:rPr>
              <w:t>If the Admitted Patient Flag or the Emergency Department Patient Flag is set to ‘Y’, then the IHACPA Reportable Flag is set to ‘N’ - i.e., not reportable to the AIHW or the IHACPA.</w:t>
            </w:r>
          </w:p>
          <w:p w14:paraId="7D0C6A3B" w14:textId="56F33E74" w:rsidR="00E77B5A" w:rsidRPr="00E77B5A" w:rsidRDefault="00E77B5A" w:rsidP="007C2700">
            <w:pPr>
              <w:pStyle w:val="BodyText"/>
              <w:numPr>
                <w:ilvl w:val="0"/>
                <w:numId w:val="10"/>
              </w:numPr>
              <w:rPr>
                <w:b/>
              </w:rPr>
            </w:pPr>
            <w:r w:rsidRPr="00E77B5A">
              <w:rPr>
                <w:b/>
              </w:rPr>
              <w:t>70 series QH Tier 2 Codes</w:t>
            </w:r>
          </w:p>
          <w:p w14:paraId="4CFE2405" w14:textId="77777777" w:rsidR="00E77B5A" w:rsidRDefault="00E77B5A" w:rsidP="00E77B5A">
            <w:pPr>
              <w:pStyle w:val="BodyText"/>
              <w:rPr>
                <w:bCs/>
              </w:rPr>
            </w:pPr>
            <w:r w:rsidRPr="00E77B5A">
              <w:rPr>
                <w:bCs/>
              </w:rPr>
              <w:t>Where the QH Tier 2 code = 7x.xx, then the IHACPA Reportable Flag is set to ‘N’ - i.e., not reportable to the AIHW or the IHACPA.</w:t>
            </w:r>
          </w:p>
          <w:p w14:paraId="09131805" w14:textId="77777777" w:rsidR="002D21B7" w:rsidRPr="007C2700" w:rsidRDefault="002D21B7" w:rsidP="002D21B7">
            <w:pPr>
              <w:pStyle w:val="BodyText"/>
              <w:numPr>
                <w:ilvl w:val="0"/>
                <w:numId w:val="10"/>
              </w:numPr>
              <w:rPr>
                <w:bCs/>
              </w:rPr>
            </w:pPr>
            <w:r w:rsidRPr="007C2700">
              <w:rPr>
                <w:b/>
              </w:rPr>
              <w:t xml:space="preserve">Service events with only the </w:t>
            </w:r>
            <w:r w:rsidRPr="007C2700">
              <w:rPr>
                <w:b/>
                <w:i/>
                <w:iCs/>
              </w:rPr>
              <w:t>Patient not present indicator</w:t>
            </w:r>
            <w:r w:rsidRPr="007C2700">
              <w:rPr>
                <w:b/>
              </w:rPr>
              <w:t xml:space="preserve"> set to ‘1’ – Yes</w:t>
            </w:r>
          </w:p>
          <w:p w14:paraId="0E1D3AAB" w14:textId="77777777" w:rsidR="00FB0D79" w:rsidRPr="00E77B5A" w:rsidRDefault="00FB0D79" w:rsidP="00FB0D79">
            <w:pPr>
              <w:pStyle w:val="ListBullet"/>
              <w:numPr>
                <w:ilvl w:val="0"/>
                <w:numId w:val="0"/>
              </w:numPr>
            </w:pPr>
            <w:r w:rsidRPr="00E77B5A">
              <w:t>Service events received with the Patient not present indicator set to ‘1’ – Yes, will be flagged as not IHACPA reportable and a validation will be applied to the record.</w:t>
            </w:r>
          </w:p>
          <w:p w14:paraId="12605EC8" w14:textId="77777777" w:rsidR="00FB0D79" w:rsidRPr="00E77B5A" w:rsidRDefault="00FB0D79" w:rsidP="00FB0D79">
            <w:pPr>
              <w:pStyle w:val="BodyText"/>
              <w:numPr>
                <w:ilvl w:val="0"/>
                <w:numId w:val="10"/>
              </w:numPr>
            </w:pPr>
            <w:r w:rsidRPr="00E77B5A">
              <w:rPr>
                <w:b/>
                <w:bCs/>
              </w:rPr>
              <w:lastRenderedPageBreak/>
              <w:t>Rapid Access</w:t>
            </w:r>
          </w:p>
          <w:p w14:paraId="1620DC07" w14:textId="77777777" w:rsidR="00FB0D79" w:rsidRPr="00E77B5A" w:rsidRDefault="00FB0D79" w:rsidP="00FB0D79">
            <w:pPr>
              <w:pStyle w:val="BodyText"/>
            </w:pPr>
            <w:r w:rsidRPr="00E77B5A">
              <w:t>Rapid access records received with a non-admitted patient service event where the model of care code is set to ‘01’ – Rapid access, with the Patient not present indicator of ‘01’ – Yes, will be flagged as not AIHW/IHACPA reportable.</w:t>
            </w:r>
          </w:p>
          <w:p w14:paraId="05A5A2F5" w14:textId="77777777" w:rsidR="00FB0D79" w:rsidRPr="00E77B5A" w:rsidRDefault="00FB0D79" w:rsidP="00FB0D79">
            <w:pPr>
              <w:pStyle w:val="BodyText"/>
              <w:numPr>
                <w:ilvl w:val="0"/>
                <w:numId w:val="22"/>
              </w:numPr>
              <w:rPr>
                <w:b/>
              </w:rPr>
            </w:pPr>
            <w:r w:rsidRPr="00E77B5A">
              <w:rPr>
                <w:b/>
              </w:rPr>
              <w:t>eConsults</w:t>
            </w:r>
          </w:p>
          <w:p w14:paraId="3E693D23" w14:textId="77777777" w:rsidR="00FB0D79" w:rsidRPr="00E77B5A" w:rsidRDefault="00FB0D79" w:rsidP="00FB0D79">
            <w:pPr>
              <w:pStyle w:val="BodyText"/>
            </w:pPr>
            <w:r w:rsidRPr="00E77B5A">
              <w:t>eConsult records do not meet the definition of a service event and will be flagged as not AIHW/IHACPA reportable.</w:t>
            </w:r>
          </w:p>
          <w:p w14:paraId="665B4107" w14:textId="77777777" w:rsidR="00FB0D79" w:rsidRPr="00E77B5A" w:rsidRDefault="00FB0D79" w:rsidP="00FB0D79">
            <w:pPr>
              <w:pStyle w:val="BodyText"/>
              <w:numPr>
                <w:ilvl w:val="0"/>
                <w:numId w:val="22"/>
              </w:numPr>
              <w:rPr>
                <w:b/>
                <w:bCs/>
              </w:rPr>
            </w:pPr>
            <w:r w:rsidRPr="00E77B5A">
              <w:rPr>
                <w:b/>
                <w:bCs/>
              </w:rPr>
              <w:t>Emergency Telehealth</w:t>
            </w:r>
          </w:p>
          <w:p w14:paraId="60545BCF" w14:textId="55DA9729" w:rsidR="00FB0D79" w:rsidRPr="00E77B5A" w:rsidRDefault="00FB0D79" w:rsidP="00FB0D79">
            <w:pPr>
              <w:pStyle w:val="BodyText"/>
              <w:rPr>
                <w:bCs/>
              </w:rPr>
            </w:pPr>
            <w:r w:rsidRPr="00E77B5A">
              <w:t>Emergency Telehealth records are not non-admitted outpatient service events and will be flagged as not AIHW/IHACPA reportable.</w:t>
            </w:r>
          </w:p>
        </w:tc>
      </w:tr>
      <w:tr w:rsidR="00E77B5A" w:rsidRPr="00E77B5A" w14:paraId="165ABC02" w14:textId="77777777" w:rsidTr="007C2700">
        <w:trPr>
          <w:trHeight w:val="315"/>
        </w:trPr>
        <w:tc>
          <w:tcPr>
            <w:tcW w:w="2072" w:type="dxa"/>
            <w:shd w:val="clear" w:color="auto" w:fill="94DCEF"/>
            <w:vAlign w:val="center"/>
            <w:hideMark/>
          </w:tcPr>
          <w:p w14:paraId="4BD343AF" w14:textId="77777777" w:rsidR="00E77B5A" w:rsidRPr="00E77B5A" w:rsidRDefault="00E77B5A" w:rsidP="00E77B5A">
            <w:pPr>
              <w:pStyle w:val="BodyText"/>
              <w:rPr>
                <w:b/>
                <w:bCs/>
              </w:rPr>
            </w:pPr>
            <w:r w:rsidRPr="00E77B5A">
              <w:rPr>
                <w:b/>
                <w:bCs/>
              </w:rPr>
              <w:lastRenderedPageBreak/>
              <w:t>File Format Item #</w:t>
            </w:r>
          </w:p>
        </w:tc>
        <w:tc>
          <w:tcPr>
            <w:tcW w:w="695" w:type="dxa"/>
            <w:shd w:val="clear" w:color="auto" w:fill="B8E5FC"/>
            <w:vAlign w:val="center"/>
            <w:hideMark/>
          </w:tcPr>
          <w:p w14:paraId="02D869AB" w14:textId="77777777" w:rsidR="00E77B5A" w:rsidRPr="00E77B5A" w:rsidRDefault="00E77B5A" w:rsidP="00E77B5A">
            <w:pPr>
              <w:pStyle w:val="BodyText"/>
              <w:rPr>
                <w:bCs/>
              </w:rPr>
            </w:pPr>
            <w:r w:rsidRPr="00E77B5A">
              <w:rPr>
                <w:bCs/>
              </w:rPr>
              <w:t>45</w:t>
            </w:r>
          </w:p>
        </w:tc>
        <w:tc>
          <w:tcPr>
            <w:tcW w:w="2476" w:type="dxa"/>
            <w:shd w:val="clear" w:color="auto" w:fill="94DCEF"/>
            <w:vAlign w:val="center"/>
            <w:hideMark/>
          </w:tcPr>
          <w:p w14:paraId="435A7779" w14:textId="77777777" w:rsidR="00E77B5A" w:rsidRPr="00E77B5A" w:rsidRDefault="00E77B5A" w:rsidP="00E77B5A">
            <w:pPr>
              <w:pStyle w:val="BodyText"/>
              <w:rPr>
                <w:b/>
                <w:bCs/>
              </w:rPr>
            </w:pPr>
            <w:r w:rsidRPr="00E77B5A">
              <w:rPr>
                <w:b/>
                <w:bCs/>
              </w:rPr>
              <w:t>File Format Data Item</w:t>
            </w:r>
          </w:p>
        </w:tc>
        <w:tc>
          <w:tcPr>
            <w:tcW w:w="3106" w:type="dxa"/>
            <w:shd w:val="clear" w:color="auto" w:fill="B8E5FC"/>
            <w:vAlign w:val="center"/>
            <w:hideMark/>
          </w:tcPr>
          <w:p w14:paraId="00A63933" w14:textId="77777777" w:rsidR="00E77B5A" w:rsidRPr="00E77B5A" w:rsidRDefault="00EC2651" w:rsidP="00E77B5A">
            <w:pPr>
              <w:pStyle w:val="BodyText"/>
              <w:rPr>
                <w:bCs/>
                <w:u w:val="single"/>
              </w:rPr>
            </w:pPr>
            <w:hyperlink r:id="rId27" w:history="1">
              <w:r w:rsidR="00E77B5A" w:rsidRPr="00E77B5A">
                <w:rPr>
                  <w:rStyle w:val="Hyperlink"/>
                  <w:bCs/>
                </w:rPr>
                <w:t>Patient not present indicator</w:t>
              </w:r>
            </w:hyperlink>
          </w:p>
        </w:tc>
        <w:tc>
          <w:tcPr>
            <w:tcW w:w="3260" w:type="dxa"/>
            <w:shd w:val="clear" w:color="auto" w:fill="94DCEF"/>
            <w:vAlign w:val="center"/>
          </w:tcPr>
          <w:p w14:paraId="03ED14A6" w14:textId="77777777" w:rsidR="00E77B5A" w:rsidRPr="00E77B5A" w:rsidRDefault="00E77B5A" w:rsidP="00E77B5A">
            <w:pPr>
              <w:pStyle w:val="BodyText"/>
              <w:rPr>
                <w:bCs/>
                <w:u w:val="single"/>
              </w:rPr>
            </w:pPr>
            <w:r w:rsidRPr="00E77B5A">
              <w:rPr>
                <w:b/>
                <w:bCs/>
              </w:rPr>
              <w:t>Relevant Values in Data Domain</w:t>
            </w:r>
          </w:p>
        </w:tc>
        <w:tc>
          <w:tcPr>
            <w:tcW w:w="2137" w:type="dxa"/>
            <w:shd w:val="clear" w:color="auto" w:fill="auto"/>
            <w:vAlign w:val="center"/>
          </w:tcPr>
          <w:p w14:paraId="393DE3D9" w14:textId="77777777" w:rsidR="00E77B5A" w:rsidRPr="00E77B5A" w:rsidRDefault="00E77B5A" w:rsidP="00E77B5A">
            <w:pPr>
              <w:pStyle w:val="BodyText"/>
              <w:rPr>
                <w:bCs/>
                <w:u w:val="single"/>
              </w:rPr>
            </w:pPr>
            <w:r w:rsidRPr="00E77B5A">
              <w:rPr>
                <w:bCs/>
              </w:rPr>
              <w:t>‘1’ – Yes</w:t>
            </w:r>
          </w:p>
        </w:tc>
      </w:tr>
    </w:tbl>
    <w:p w14:paraId="056782F7" w14:textId="77777777" w:rsidR="00E77B5A" w:rsidRPr="00E77B5A" w:rsidRDefault="00E77B5A" w:rsidP="00EC687D">
      <w:pPr>
        <w:pStyle w:val="Heading1"/>
      </w:pPr>
      <w:r w:rsidRPr="00E77B5A">
        <w:br w:type="page"/>
      </w:r>
      <w:bookmarkStart w:id="17" w:name="_Toc128055673"/>
      <w:bookmarkStart w:id="18" w:name="_Toc137546424"/>
      <w:bookmarkStart w:id="19" w:name="_Toc168662790"/>
      <w:r w:rsidRPr="00E77B5A">
        <w:lastRenderedPageBreak/>
        <w:t>Rule 6 – Derive Tier 2 Code from CCC</w:t>
      </w:r>
      <w:bookmarkEnd w:id="17"/>
      <w:bookmarkEnd w:id="18"/>
      <w:bookmarkEnd w:id="1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5"/>
        <w:gridCol w:w="702"/>
        <w:gridCol w:w="2478"/>
        <w:gridCol w:w="2385"/>
        <w:gridCol w:w="3282"/>
        <w:gridCol w:w="2824"/>
      </w:tblGrid>
      <w:tr w:rsidR="00E77B5A" w:rsidRPr="00E77B5A" w14:paraId="40B5B4DF" w14:textId="77777777" w:rsidTr="004B02A9">
        <w:trPr>
          <w:trHeight w:val="540"/>
        </w:trPr>
        <w:tc>
          <w:tcPr>
            <w:tcW w:w="2075" w:type="dxa"/>
            <w:shd w:val="clear" w:color="auto" w:fill="001D47"/>
            <w:vAlign w:val="center"/>
            <w:hideMark/>
          </w:tcPr>
          <w:p w14:paraId="6F17E60A" w14:textId="77777777" w:rsidR="00E77B5A" w:rsidRPr="00E77B5A" w:rsidRDefault="00E77B5A" w:rsidP="00E77B5A">
            <w:pPr>
              <w:pStyle w:val="BodyText"/>
              <w:rPr>
                <w:b/>
                <w:bCs/>
              </w:rPr>
            </w:pPr>
            <w:r w:rsidRPr="00EC687D">
              <w:rPr>
                <w:b/>
                <w:bCs/>
                <w:color w:val="FFFFFF" w:themeColor="background1"/>
                <w:sz w:val="32"/>
                <w:szCs w:val="32"/>
              </w:rPr>
              <w:t>Rule No.</w:t>
            </w:r>
          </w:p>
        </w:tc>
        <w:tc>
          <w:tcPr>
            <w:tcW w:w="702" w:type="dxa"/>
            <w:shd w:val="clear" w:color="auto" w:fill="B8E5FC"/>
            <w:vAlign w:val="center"/>
            <w:hideMark/>
          </w:tcPr>
          <w:p w14:paraId="02E10333" w14:textId="77777777" w:rsidR="00E77B5A" w:rsidRPr="00E77B5A" w:rsidRDefault="00E77B5A" w:rsidP="00E77B5A">
            <w:pPr>
              <w:pStyle w:val="BodyText"/>
              <w:rPr>
                <w:b/>
                <w:bCs/>
              </w:rPr>
            </w:pPr>
            <w:r w:rsidRPr="00EC687D">
              <w:rPr>
                <w:b/>
                <w:bCs/>
                <w:sz w:val="32"/>
                <w:szCs w:val="32"/>
              </w:rPr>
              <w:t>6</w:t>
            </w:r>
          </w:p>
        </w:tc>
        <w:tc>
          <w:tcPr>
            <w:tcW w:w="2478" w:type="dxa"/>
            <w:shd w:val="clear" w:color="auto" w:fill="001D47"/>
            <w:vAlign w:val="center"/>
            <w:hideMark/>
          </w:tcPr>
          <w:p w14:paraId="0D446EDB" w14:textId="4978A53D" w:rsidR="00E77B5A" w:rsidRPr="00E77B5A" w:rsidRDefault="00320415" w:rsidP="00E77B5A">
            <w:pPr>
              <w:pStyle w:val="BodyText"/>
              <w:rPr>
                <w:b/>
                <w:bCs/>
              </w:rPr>
            </w:pPr>
            <w:r>
              <w:rPr>
                <w:b/>
                <w:bCs/>
                <w:color w:val="FFFFFF" w:themeColor="background1"/>
                <w:sz w:val="32"/>
                <w:szCs w:val="32"/>
              </w:rPr>
              <w:t>Business Rule</w:t>
            </w:r>
          </w:p>
        </w:tc>
        <w:tc>
          <w:tcPr>
            <w:tcW w:w="8491" w:type="dxa"/>
            <w:gridSpan w:val="3"/>
            <w:shd w:val="clear" w:color="auto" w:fill="B8E5FC"/>
            <w:vAlign w:val="center"/>
            <w:hideMark/>
          </w:tcPr>
          <w:p w14:paraId="155D8B4D" w14:textId="11BBCB03" w:rsidR="00E77B5A" w:rsidRPr="00E77B5A" w:rsidRDefault="00320415" w:rsidP="00E77B5A">
            <w:pPr>
              <w:pStyle w:val="BodyText"/>
              <w:rPr>
                <w:b/>
                <w:bCs/>
              </w:rPr>
            </w:pPr>
            <w:r w:rsidRPr="00E77B5A">
              <w:rPr>
                <w:bCs/>
              </w:rPr>
              <w:t>Derived Tier 2 Code (QH Tier 2)</w:t>
            </w:r>
          </w:p>
        </w:tc>
      </w:tr>
      <w:tr w:rsidR="00E77B5A" w:rsidRPr="00E77B5A" w14:paraId="7998D488" w14:textId="77777777" w:rsidTr="004B02A9">
        <w:trPr>
          <w:trHeight w:val="315"/>
        </w:trPr>
        <w:tc>
          <w:tcPr>
            <w:tcW w:w="2075" w:type="dxa"/>
            <w:shd w:val="clear" w:color="auto" w:fill="94DCEF"/>
            <w:vAlign w:val="center"/>
          </w:tcPr>
          <w:p w14:paraId="3E62AF7A" w14:textId="77777777" w:rsidR="00E77B5A" w:rsidRPr="00E77B5A" w:rsidRDefault="00E77B5A" w:rsidP="00E77B5A">
            <w:pPr>
              <w:pStyle w:val="BodyText"/>
              <w:rPr>
                <w:b/>
                <w:bCs/>
              </w:rPr>
            </w:pPr>
            <w:r w:rsidRPr="00E77B5A">
              <w:rPr>
                <w:b/>
                <w:bCs/>
              </w:rPr>
              <w:t>Business Process</w:t>
            </w:r>
          </w:p>
        </w:tc>
        <w:tc>
          <w:tcPr>
            <w:tcW w:w="11671" w:type="dxa"/>
            <w:gridSpan w:val="5"/>
            <w:shd w:val="clear" w:color="auto" w:fill="auto"/>
            <w:vAlign w:val="center"/>
          </w:tcPr>
          <w:p w14:paraId="13B6ABB5" w14:textId="77777777" w:rsidR="00E77B5A" w:rsidRPr="007C2700" w:rsidRDefault="00E77B5A" w:rsidP="00E77B5A">
            <w:pPr>
              <w:pStyle w:val="BodyText"/>
              <w:rPr>
                <w:b/>
                <w:u w:val="single"/>
              </w:rPr>
            </w:pPr>
            <w:r w:rsidRPr="007C2700">
              <w:rPr>
                <w:b/>
                <w:u w:val="single"/>
              </w:rPr>
              <w:t xml:space="preserve">Establishments reporting to QHNAPDC must report the mandatory data items of Corporate Clinic Code (CCC) and Provider Type code as per the </w:t>
            </w:r>
            <w:hyperlink r:id="rId28" w:history="1">
              <w:r w:rsidRPr="007C2700">
                <w:rPr>
                  <w:rStyle w:val="Hyperlink"/>
                  <w:b/>
                </w:rPr>
                <w:t>QHNAPDC file format</w:t>
              </w:r>
            </w:hyperlink>
            <w:r w:rsidRPr="007C2700">
              <w:rPr>
                <w:b/>
                <w:u w:val="single"/>
              </w:rPr>
              <w:t xml:space="preserve">. A Tier 2 code can be reported; </w:t>
            </w:r>
            <w:r w:rsidRPr="007C2700" w:rsidDel="009742F3">
              <w:rPr>
                <w:b/>
                <w:u w:val="single"/>
              </w:rPr>
              <w:t>however</w:t>
            </w:r>
            <w:r w:rsidRPr="007C2700">
              <w:rPr>
                <w:b/>
                <w:u w:val="single"/>
              </w:rPr>
              <w:t xml:space="preserve">, it is an optional requirement in the </w:t>
            </w:r>
            <w:hyperlink r:id="rId29" w:history="1">
              <w:r w:rsidRPr="007C2700">
                <w:rPr>
                  <w:rStyle w:val="Hyperlink"/>
                  <w:b/>
                </w:rPr>
                <w:t>QHNAPDC file format</w:t>
              </w:r>
            </w:hyperlink>
            <w:r w:rsidRPr="007C2700">
              <w:rPr>
                <w:b/>
                <w:u w:val="single"/>
              </w:rPr>
              <w:t xml:space="preserve">.  </w:t>
            </w:r>
          </w:p>
          <w:p w14:paraId="6AF2A460" w14:textId="09CB3914" w:rsidR="00164159" w:rsidRPr="00E77B5A" w:rsidRDefault="00164159" w:rsidP="00E77B5A">
            <w:pPr>
              <w:pStyle w:val="BodyText"/>
              <w:rPr>
                <w:bCs/>
                <w:u w:val="single"/>
              </w:rPr>
            </w:pPr>
            <w:r w:rsidRPr="00E77B5A">
              <w:rPr>
                <w:bCs/>
              </w:rPr>
              <w:t>Statistical Services Branch will derive the QH Tier 2 code for Funding Model purposes based on the CCC and Provider Type code reported by the establishment.</w:t>
            </w:r>
          </w:p>
        </w:tc>
      </w:tr>
      <w:tr w:rsidR="00E77B5A" w:rsidRPr="00E77B5A" w14:paraId="5FB1D314" w14:textId="77777777" w:rsidTr="007C2700">
        <w:trPr>
          <w:trHeight w:val="315"/>
        </w:trPr>
        <w:tc>
          <w:tcPr>
            <w:tcW w:w="2075" w:type="dxa"/>
            <w:shd w:val="clear" w:color="auto" w:fill="94DCEF"/>
            <w:vAlign w:val="center"/>
            <w:hideMark/>
          </w:tcPr>
          <w:p w14:paraId="771E67B4" w14:textId="77777777" w:rsidR="00E77B5A" w:rsidRPr="00E77B5A" w:rsidRDefault="00E77B5A" w:rsidP="00E77B5A">
            <w:pPr>
              <w:pStyle w:val="BodyText"/>
              <w:rPr>
                <w:b/>
                <w:bCs/>
              </w:rPr>
            </w:pPr>
            <w:r w:rsidRPr="00E77B5A">
              <w:rPr>
                <w:b/>
                <w:bCs/>
              </w:rPr>
              <w:t>File Format Item #</w:t>
            </w:r>
          </w:p>
        </w:tc>
        <w:tc>
          <w:tcPr>
            <w:tcW w:w="702" w:type="dxa"/>
            <w:shd w:val="clear" w:color="auto" w:fill="B8E5FC"/>
            <w:vAlign w:val="center"/>
            <w:hideMark/>
          </w:tcPr>
          <w:p w14:paraId="647D5FCC" w14:textId="77777777" w:rsidR="00E77B5A" w:rsidRPr="00E77B5A" w:rsidRDefault="00E77B5A" w:rsidP="00E77B5A">
            <w:pPr>
              <w:pStyle w:val="BodyText"/>
              <w:rPr>
                <w:bCs/>
              </w:rPr>
            </w:pPr>
            <w:r w:rsidRPr="00E77B5A">
              <w:rPr>
                <w:bCs/>
              </w:rPr>
              <w:t>N/A</w:t>
            </w:r>
          </w:p>
        </w:tc>
        <w:tc>
          <w:tcPr>
            <w:tcW w:w="2478" w:type="dxa"/>
            <w:shd w:val="clear" w:color="auto" w:fill="94DCEF"/>
            <w:vAlign w:val="center"/>
            <w:hideMark/>
          </w:tcPr>
          <w:p w14:paraId="38D0F53E" w14:textId="77777777" w:rsidR="00E77B5A" w:rsidRPr="00E77B5A" w:rsidRDefault="00E77B5A" w:rsidP="00E77B5A">
            <w:pPr>
              <w:pStyle w:val="BodyText"/>
              <w:rPr>
                <w:b/>
                <w:bCs/>
              </w:rPr>
            </w:pPr>
            <w:r w:rsidRPr="00E77B5A">
              <w:rPr>
                <w:b/>
                <w:bCs/>
              </w:rPr>
              <w:t>File Format Data Item</w:t>
            </w:r>
          </w:p>
        </w:tc>
        <w:tc>
          <w:tcPr>
            <w:tcW w:w="2385" w:type="dxa"/>
            <w:shd w:val="clear" w:color="auto" w:fill="B8E5FC"/>
            <w:vAlign w:val="center"/>
            <w:hideMark/>
          </w:tcPr>
          <w:p w14:paraId="435D2716" w14:textId="77777777" w:rsidR="00E77B5A" w:rsidRPr="00E77B5A" w:rsidRDefault="00E77B5A" w:rsidP="00E77B5A">
            <w:pPr>
              <w:pStyle w:val="BodyText"/>
              <w:rPr>
                <w:bCs/>
                <w:u w:val="single"/>
              </w:rPr>
            </w:pPr>
            <w:r w:rsidRPr="00E77B5A">
              <w:rPr>
                <w:bCs/>
              </w:rPr>
              <w:t>N/A</w:t>
            </w:r>
          </w:p>
        </w:tc>
        <w:tc>
          <w:tcPr>
            <w:tcW w:w="3282" w:type="dxa"/>
            <w:shd w:val="clear" w:color="auto" w:fill="94DCEF"/>
            <w:vAlign w:val="center"/>
          </w:tcPr>
          <w:p w14:paraId="67B14F7B" w14:textId="77777777" w:rsidR="00E77B5A" w:rsidRPr="00E77B5A" w:rsidRDefault="00E77B5A" w:rsidP="00E77B5A">
            <w:pPr>
              <w:pStyle w:val="BodyText"/>
              <w:rPr>
                <w:bCs/>
                <w:u w:val="single"/>
              </w:rPr>
            </w:pPr>
            <w:r w:rsidRPr="00E77B5A">
              <w:rPr>
                <w:b/>
                <w:bCs/>
              </w:rPr>
              <w:t>Relevant Values in Data Domain</w:t>
            </w:r>
          </w:p>
        </w:tc>
        <w:tc>
          <w:tcPr>
            <w:tcW w:w="2824" w:type="dxa"/>
            <w:shd w:val="clear" w:color="auto" w:fill="auto"/>
            <w:vAlign w:val="center"/>
          </w:tcPr>
          <w:p w14:paraId="18430F62" w14:textId="77777777" w:rsidR="00E77B5A" w:rsidRPr="00E77B5A" w:rsidRDefault="00E77B5A" w:rsidP="00E77B5A">
            <w:pPr>
              <w:pStyle w:val="BodyText"/>
              <w:rPr>
                <w:bCs/>
                <w:u w:val="single"/>
              </w:rPr>
            </w:pPr>
            <w:r w:rsidRPr="00E77B5A">
              <w:rPr>
                <w:bCs/>
              </w:rPr>
              <w:t>N/A</w:t>
            </w:r>
          </w:p>
        </w:tc>
      </w:tr>
    </w:tbl>
    <w:bookmarkStart w:id="20" w:name="_Hlk165271880"/>
    <w:bookmarkStart w:id="21" w:name="_Hlk165271881"/>
    <w:bookmarkStart w:id="22" w:name="_Toc129948821"/>
    <w:bookmarkStart w:id="23" w:name="_Toc129948848"/>
    <w:p w14:paraId="42F328FC" w14:textId="55E3C74E" w:rsidR="004B02A9" w:rsidRPr="004B02A9" w:rsidRDefault="004B02A9" w:rsidP="004B02A9">
      <w:pPr>
        <w:pStyle w:val="Callout"/>
        <w:rPr>
          <w:sz w:val="36"/>
          <w:szCs w:val="36"/>
        </w:rPr>
      </w:pPr>
      <w:r w:rsidRPr="004B02A9">
        <w:rPr>
          <w:sz w:val="36"/>
          <w:szCs w:val="36"/>
        </w:rPr>
        <w:fldChar w:fldCharType="begin"/>
      </w:r>
      <w:r>
        <w:rPr>
          <w:sz w:val="36"/>
          <w:szCs w:val="36"/>
        </w:rPr>
        <w:instrText>HYPERLINK "https://www.health.qld.gov.au/__data/assets/excel_doc/0030/1326378/QHNAPDC-Clinic-Mapping-and-Business-Rules-6-7-10-12-14-from-01-July-2024.xlsx"</w:instrText>
      </w:r>
      <w:r w:rsidRPr="004B02A9">
        <w:rPr>
          <w:sz w:val="36"/>
          <w:szCs w:val="36"/>
        </w:rPr>
      </w:r>
      <w:r w:rsidRPr="004B02A9">
        <w:rPr>
          <w:sz w:val="36"/>
          <w:szCs w:val="36"/>
        </w:rPr>
        <w:fldChar w:fldCharType="separate"/>
      </w:r>
      <w:r w:rsidRPr="004B02A9">
        <w:rPr>
          <w:rStyle w:val="Hyperlink"/>
          <w:b/>
          <w:bCs/>
          <w:sz w:val="36"/>
          <w:szCs w:val="36"/>
        </w:rPr>
        <w:t>Click here to view the QH Tier 2 code derivations for each CCC and Provider Type code combination</w:t>
      </w:r>
      <w:r w:rsidR="008D46FD">
        <w:rPr>
          <w:rStyle w:val="Hyperlink"/>
          <w:b/>
          <w:bCs/>
          <w:sz w:val="36"/>
          <w:szCs w:val="36"/>
        </w:rPr>
        <w:t xml:space="preserve"> (Rule 6 tab)</w:t>
      </w:r>
      <w:r w:rsidRPr="004B02A9">
        <w:rPr>
          <w:rStyle w:val="Hyperlink"/>
          <w:b/>
          <w:bCs/>
          <w:sz w:val="36"/>
          <w:szCs w:val="36"/>
        </w:rPr>
        <w:t>.</w:t>
      </w:r>
      <w:r w:rsidRPr="004B02A9">
        <w:rPr>
          <w:sz w:val="36"/>
          <w:szCs w:val="36"/>
        </w:rPr>
        <w:fldChar w:fldCharType="end"/>
      </w:r>
      <w:bookmarkEnd w:id="20"/>
      <w:bookmarkEnd w:id="21"/>
    </w:p>
    <w:bookmarkEnd w:id="22"/>
    <w:bookmarkEnd w:id="23"/>
    <w:p w14:paraId="0A28678A" w14:textId="1BFD8EC4" w:rsidR="00E77B5A" w:rsidRPr="00E77B5A" w:rsidRDefault="00E77B5A" w:rsidP="007F0726">
      <w:pPr>
        <w:pStyle w:val="Heading1"/>
      </w:pPr>
      <w:r w:rsidRPr="00E77B5A">
        <w:br w:type="page"/>
      </w:r>
      <w:bookmarkStart w:id="24" w:name="_Toc128055674"/>
      <w:bookmarkStart w:id="25" w:name="_Toc137546425"/>
      <w:bookmarkStart w:id="26" w:name="_Toc168662791"/>
      <w:r w:rsidRPr="00E77B5A">
        <w:lastRenderedPageBreak/>
        <w:t>Rule 7 – Derive IHACPA Tier 2 Code from ‘QH Tier 2’ - Telehealth</w:t>
      </w:r>
      <w:bookmarkEnd w:id="24"/>
      <w:bookmarkEnd w:id="25"/>
      <w:bookmarkEnd w:id="26"/>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9"/>
        <w:gridCol w:w="695"/>
        <w:gridCol w:w="2470"/>
        <w:gridCol w:w="2406"/>
        <w:gridCol w:w="3262"/>
        <w:gridCol w:w="2844"/>
      </w:tblGrid>
      <w:tr w:rsidR="00E77B5A" w:rsidRPr="00E77B5A" w14:paraId="58D5FA3B" w14:textId="77777777" w:rsidTr="00877CF6">
        <w:trPr>
          <w:trHeight w:val="540"/>
        </w:trPr>
        <w:tc>
          <w:tcPr>
            <w:tcW w:w="2069" w:type="dxa"/>
            <w:shd w:val="clear" w:color="auto" w:fill="001D47"/>
            <w:vAlign w:val="center"/>
            <w:hideMark/>
          </w:tcPr>
          <w:p w14:paraId="4B18D96C" w14:textId="77777777" w:rsidR="00E77B5A" w:rsidRPr="00E77B5A" w:rsidRDefault="00E77B5A" w:rsidP="00E77B5A">
            <w:pPr>
              <w:pStyle w:val="BodyText"/>
              <w:rPr>
                <w:b/>
                <w:bCs/>
              </w:rPr>
            </w:pPr>
            <w:r w:rsidRPr="007F0726">
              <w:rPr>
                <w:b/>
                <w:bCs/>
                <w:color w:val="FFFFFF" w:themeColor="background1"/>
                <w:sz w:val="32"/>
                <w:szCs w:val="32"/>
              </w:rPr>
              <w:t>Rule No.</w:t>
            </w:r>
          </w:p>
        </w:tc>
        <w:tc>
          <w:tcPr>
            <w:tcW w:w="695" w:type="dxa"/>
            <w:shd w:val="clear" w:color="auto" w:fill="B8E5FC"/>
            <w:vAlign w:val="center"/>
            <w:hideMark/>
          </w:tcPr>
          <w:p w14:paraId="1359D83B" w14:textId="77777777" w:rsidR="00E77B5A" w:rsidRPr="00E77B5A" w:rsidRDefault="00E77B5A" w:rsidP="00E77B5A">
            <w:pPr>
              <w:pStyle w:val="BodyText"/>
              <w:rPr>
                <w:b/>
                <w:bCs/>
              </w:rPr>
            </w:pPr>
            <w:r w:rsidRPr="007F0726">
              <w:rPr>
                <w:b/>
                <w:bCs/>
                <w:sz w:val="32"/>
                <w:szCs w:val="32"/>
              </w:rPr>
              <w:t>7</w:t>
            </w:r>
          </w:p>
        </w:tc>
        <w:tc>
          <w:tcPr>
            <w:tcW w:w="2470" w:type="dxa"/>
            <w:shd w:val="clear" w:color="auto" w:fill="001D47"/>
            <w:vAlign w:val="center"/>
            <w:hideMark/>
          </w:tcPr>
          <w:p w14:paraId="78C91AA9" w14:textId="4080B5C5" w:rsidR="00E77B5A" w:rsidRPr="00E77B5A" w:rsidRDefault="003360C0" w:rsidP="00E77B5A">
            <w:pPr>
              <w:pStyle w:val="BodyText"/>
              <w:rPr>
                <w:b/>
                <w:bCs/>
              </w:rPr>
            </w:pPr>
            <w:r>
              <w:rPr>
                <w:b/>
                <w:bCs/>
                <w:color w:val="FFFFFF" w:themeColor="background1"/>
                <w:sz w:val="32"/>
                <w:szCs w:val="32"/>
              </w:rPr>
              <w:t>Business Rule</w:t>
            </w:r>
          </w:p>
        </w:tc>
        <w:tc>
          <w:tcPr>
            <w:tcW w:w="8512" w:type="dxa"/>
            <w:gridSpan w:val="3"/>
            <w:shd w:val="clear" w:color="auto" w:fill="B8E5FC"/>
            <w:vAlign w:val="center"/>
            <w:hideMark/>
          </w:tcPr>
          <w:p w14:paraId="5610AD52" w14:textId="77777777" w:rsidR="00E77B5A" w:rsidRPr="00E77B5A" w:rsidRDefault="00E77B5A" w:rsidP="00E77B5A">
            <w:pPr>
              <w:pStyle w:val="BodyText"/>
              <w:rPr>
                <w:b/>
                <w:bCs/>
              </w:rPr>
            </w:pPr>
            <w:r w:rsidRPr="007C2700">
              <w:rPr>
                <w:bCs/>
              </w:rPr>
              <w:t>Derive IHACPA Tier 2 Code from ‘QH Tier 2’ – Telehealth</w:t>
            </w:r>
          </w:p>
        </w:tc>
      </w:tr>
      <w:tr w:rsidR="00E77B5A" w:rsidRPr="00E77B5A" w14:paraId="5F087F06" w14:textId="77777777" w:rsidTr="00877CF6">
        <w:trPr>
          <w:trHeight w:val="315"/>
        </w:trPr>
        <w:tc>
          <w:tcPr>
            <w:tcW w:w="2069" w:type="dxa"/>
            <w:shd w:val="clear" w:color="auto" w:fill="94DCEF"/>
            <w:vAlign w:val="center"/>
          </w:tcPr>
          <w:p w14:paraId="68316954" w14:textId="77777777" w:rsidR="00E77B5A" w:rsidRPr="00E77B5A" w:rsidRDefault="00E77B5A" w:rsidP="00E77B5A">
            <w:pPr>
              <w:pStyle w:val="BodyText"/>
              <w:rPr>
                <w:b/>
                <w:bCs/>
              </w:rPr>
            </w:pPr>
            <w:r w:rsidRPr="00E77B5A">
              <w:rPr>
                <w:b/>
                <w:bCs/>
              </w:rPr>
              <w:t>Business Process</w:t>
            </w:r>
          </w:p>
        </w:tc>
        <w:tc>
          <w:tcPr>
            <w:tcW w:w="11677" w:type="dxa"/>
            <w:gridSpan w:val="5"/>
            <w:shd w:val="clear" w:color="auto" w:fill="auto"/>
            <w:vAlign w:val="center"/>
          </w:tcPr>
          <w:p w14:paraId="74E09D06" w14:textId="23C30B55" w:rsidR="00E77B5A" w:rsidRPr="007C2700" w:rsidRDefault="00E77B5A" w:rsidP="00E77B5A">
            <w:pPr>
              <w:pStyle w:val="BodyText"/>
              <w:rPr>
                <w:b/>
                <w:u w:val="single"/>
              </w:rPr>
            </w:pPr>
            <w:r w:rsidRPr="007C2700">
              <w:rPr>
                <w:b/>
                <w:u w:val="single"/>
              </w:rPr>
              <w:t>An IHACPA Tier 2 code will be derived using the derived Qld Health Tier 2 code, except where the Service Delivery Mode is code ‘12’ – Telehealth – recipient.</w:t>
            </w:r>
          </w:p>
          <w:p w14:paraId="11820CC4" w14:textId="77777777" w:rsidR="00164159" w:rsidRPr="00E77B5A" w:rsidRDefault="00164159" w:rsidP="00164159">
            <w:pPr>
              <w:pStyle w:val="BodyText"/>
              <w:rPr>
                <w:bCs/>
              </w:rPr>
            </w:pPr>
            <w:r w:rsidRPr="00E77B5A">
              <w:rPr>
                <w:bCs/>
              </w:rPr>
              <w:t>Statistical Services Branch will derive the IHACPA Tier 2 codes for reporting telehealth recipient service events when reporting activity to IHACPA.</w:t>
            </w:r>
          </w:p>
          <w:p w14:paraId="45307460" w14:textId="77777777" w:rsidR="00164159" w:rsidRPr="003E7CF3" w:rsidRDefault="00164159" w:rsidP="00164159">
            <w:pPr>
              <w:pStyle w:val="BodyText"/>
              <w:rPr>
                <w:b/>
                <w:color w:val="FF0000"/>
              </w:rPr>
            </w:pPr>
            <w:r w:rsidRPr="003E7CF3">
              <w:rPr>
                <w:b/>
                <w:color w:val="FF0000"/>
              </w:rPr>
              <w:t>Exclusion:</w:t>
            </w:r>
          </w:p>
          <w:p w14:paraId="4AA2B50D" w14:textId="6EED510D" w:rsidR="00164159" w:rsidRPr="00E77B5A" w:rsidRDefault="00164159" w:rsidP="00164159">
            <w:pPr>
              <w:pStyle w:val="BodyText"/>
              <w:rPr>
                <w:bCs/>
                <w:u w:val="single"/>
              </w:rPr>
            </w:pPr>
            <w:r w:rsidRPr="00E77B5A">
              <w:t>Service events with both the Multiple Health Care Provider indicator and the Patient not present indicator = ‘1’ – Yes (MDCC service events)</w:t>
            </w:r>
          </w:p>
        </w:tc>
      </w:tr>
      <w:tr w:rsidR="00E77B5A" w:rsidRPr="00E77B5A" w14:paraId="3F722F23" w14:textId="77777777" w:rsidTr="007C2700">
        <w:trPr>
          <w:trHeight w:val="315"/>
        </w:trPr>
        <w:tc>
          <w:tcPr>
            <w:tcW w:w="2069" w:type="dxa"/>
            <w:shd w:val="clear" w:color="auto" w:fill="94DCEF"/>
            <w:vAlign w:val="center"/>
            <w:hideMark/>
          </w:tcPr>
          <w:p w14:paraId="63FDF812" w14:textId="77777777" w:rsidR="00E77B5A" w:rsidRPr="00E77B5A" w:rsidRDefault="00E77B5A" w:rsidP="00E77B5A">
            <w:pPr>
              <w:pStyle w:val="BodyText"/>
              <w:rPr>
                <w:b/>
                <w:bCs/>
              </w:rPr>
            </w:pPr>
            <w:r w:rsidRPr="00E77B5A">
              <w:rPr>
                <w:b/>
                <w:bCs/>
              </w:rPr>
              <w:t>File Format Item #</w:t>
            </w:r>
          </w:p>
        </w:tc>
        <w:tc>
          <w:tcPr>
            <w:tcW w:w="695" w:type="dxa"/>
            <w:shd w:val="clear" w:color="auto" w:fill="B8E5FC"/>
            <w:vAlign w:val="center"/>
            <w:hideMark/>
          </w:tcPr>
          <w:p w14:paraId="2122C426" w14:textId="77777777" w:rsidR="00E77B5A" w:rsidRPr="00E77B5A" w:rsidRDefault="00E77B5A" w:rsidP="00E77B5A">
            <w:pPr>
              <w:pStyle w:val="BodyText"/>
              <w:rPr>
                <w:bCs/>
              </w:rPr>
            </w:pPr>
            <w:r w:rsidRPr="00E77B5A">
              <w:rPr>
                <w:bCs/>
              </w:rPr>
              <w:t>20</w:t>
            </w:r>
          </w:p>
        </w:tc>
        <w:tc>
          <w:tcPr>
            <w:tcW w:w="2470" w:type="dxa"/>
            <w:shd w:val="clear" w:color="auto" w:fill="94DCEF"/>
            <w:vAlign w:val="center"/>
            <w:hideMark/>
          </w:tcPr>
          <w:p w14:paraId="4DCBB813" w14:textId="77777777" w:rsidR="00E77B5A" w:rsidRPr="00E77B5A" w:rsidRDefault="00E77B5A" w:rsidP="00E77B5A">
            <w:pPr>
              <w:pStyle w:val="BodyText"/>
              <w:rPr>
                <w:b/>
                <w:bCs/>
              </w:rPr>
            </w:pPr>
            <w:r w:rsidRPr="00E77B5A">
              <w:rPr>
                <w:b/>
                <w:bCs/>
              </w:rPr>
              <w:t>File Format Data Item</w:t>
            </w:r>
          </w:p>
        </w:tc>
        <w:tc>
          <w:tcPr>
            <w:tcW w:w="2406" w:type="dxa"/>
            <w:shd w:val="clear" w:color="auto" w:fill="B8E5FC"/>
            <w:vAlign w:val="center"/>
            <w:hideMark/>
          </w:tcPr>
          <w:p w14:paraId="1B619BAD" w14:textId="77777777" w:rsidR="00E77B5A" w:rsidRPr="00E77B5A" w:rsidRDefault="00EC2651" w:rsidP="00E77B5A">
            <w:pPr>
              <w:pStyle w:val="BodyText"/>
              <w:rPr>
                <w:bCs/>
              </w:rPr>
            </w:pPr>
            <w:hyperlink r:id="rId30" w:history="1">
              <w:r w:rsidR="00E77B5A" w:rsidRPr="00E77B5A">
                <w:rPr>
                  <w:rStyle w:val="Hyperlink"/>
                  <w:bCs/>
                </w:rPr>
                <w:t>Service Delivery Mode</w:t>
              </w:r>
            </w:hyperlink>
          </w:p>
        </w:tc>
        <w:tc>
          <w:tcPr>
            <w:tcW w:w="3262" w:type="dxa"/>
            <w:shd w:val="clear" w:color="auto" w:fill="94DCEF"/>
            <w:vAlign w:val="center"/>
          </w:tcPr>
          <w:p w14:paraId="0A9E0F79" w14:textId="77777777" w:rsidR="00E77B5A" w:rsidRPr="00E77B5A" w:rsidRDefault="00E77B5A" w:rsidP="00E77B5A">
            <w:pPr>
              <w:pStyle w:val="BodyText"/>
              <w:rPr>
                <w:bCs/>
                <w:u w:val="single"/>
              </w:rPr>
            </w:pPr>
            <w:r w:rsidRPr="00E77B5A">
              <w:rPr>
                <w:b/>
                <w:bCs/>
              </w:rPr>
              <w:t>Relevant Values in Data Domain</w:t>
            </w:r>
          </w:p>
        </w:tc>
        <w:tc>
          <w:tcPr>
            <w:tcW w:w="2844" w:type="dxa"/>
            <w:shd w:val="clear" w:color="auto" w:fill="auto"/>
            <w:vAlign w:val="center"/>
          </w:tcPr>
          <w:p w14:paraId="6CC43D57" w14:textId="77777777" w:rsidR="00E77B5A" w:rsidRPr="00E77B5A" w:rsidRDefault="00E77B5A" w:rsidP="00E77B5A">
            <w:pPr>
              <w:pStyle w:val="BodyText"/>
              <w:rPr>
                <w:bCs/>
              </w:rPr>
            </w:pPr>
            <w:r w:rsidRPr="00E77B5A">
              <w:rPr>
                <w:bCs/>
              </w:rPr>
              <w:t>‘12’ – Telehealth –</w:t>
            </w:r>
            <w:r w:rsidRPr="00E77B5A">
              <w:t xml:space="preserve"> </w:t>
            </w:r>
            <w:r w:rsidRPr="00E77B5A">
              <w:rPr>
                <w:bCs/>
              </w:rPr>
              <w:t>recipient</w:t>
            </w:r>
          </w:p>
        </w:tc>
      </w:tr>
    </w:tbl>
    <w:bookmarkStart w:id="27" w:name="_Toc129948822"/>
    <w:bookmarkStart w:id="28" w:name="_Toc129948849"/>
    <w:bookmarkEnd w:id="27"/>
    <w:bookmarkEnd w:id="28"/>
    <w:p w14:paraId="45D16322" w14:textId="4395FBE5" w:rsidR="00877CF6" w:rsidRPr="004B02A9" w:rsidRDefault="00877CF6" w:rsidP="00877CF6">
      <w:pPr>
        <w:pStyle w:val="Callout"/>
        <w:rPr>
          <w:sz w:val="36"/>
          <w:szCs w:val="36"/>
        </w:rPr>
      </w:pPr>
      <w:r w:rsidRPr="004B02A9">
        <w:rPr>
          <w:sz w:val="36"/>
          <w:szCs w:val="36"/>
        </w:rPr>
        <w:fldChar w:fldCharType="begin"/>
      </w:r>
      <w:r>
        <w:rPr>
          <w:sz w:val="36"/>
          <w:szCs w:val="36"/>
        </w:rPr>
        <w:instrText>HYPERLINK "https://www.health.qld.gov.au/__data/assets/excel_doc/0030/1326378/QHNAPDC-Clinic-Mapping-and-Business-Rules-6-7-10-12-14-from-01-July-2024.xlsx"</w:instrText>
      </w:r>
      <w:r w:rsidRPr="004B02A9">
        <w:rPr>
          <w:sz w:val="36"/>
          <w:szCs w:val="36"/>
        </w:rPr>
      </w:r>
      <w:r w:rsidRPr="004B02A9">
        <w:rPr>
          <w:sz w:val="36"/>
          <w:szCs w:val="36"/>
        </w:rPr>
        <w:fldChar w:fldCharType="separate"/>
      </w:r>
      <w:r w:rsidRPr="004B02A9">
        <w:rPr>
          <w:rStyle w:val="Hyperlink"/>
          <w:b/>
          <w:bCs/>
          <w:sz w:val="36"/>
          <w:szCs w:val="36"/>
        </w:rPr>
        <w:t xml:space="preserve">Click here to view the </w:t>
      </w:r>
      <w:r>
        <w:rPr>
          <w:rStyle w:val="Hyperlink"/>
          <w:b/>
          <w:bCs/>
          <w:sz w:val="36"/>
          <w:szCs w:val="36"/>
        </w:rPr>
        <w:t>IHACPA</w:t>
      </w:r>
      <w:r w:rsidRPr="004B02A9">
        <w:rPr>
          <w:rStyle w:val="Hyperlink"/>
          <w:b/>
          <w:bCs/>
          <w:sz w:val="36"/>
          <w:szCs w:val="36"/>
        </w:rPr>
        <w:t xml:space="preserve"> Tier 2 code derivations </w:t>
      </w:r>
      <w:r>
        <w:rPr>
          <w:rStyle w:val="Hyperlink"/>
          <w:b/>
          <w:bCs/>
          <w:sz w:val="36"/>
          <w:szCs w:val="36"/>
        </w:rPr>
        <w:t>where Service Delivery Mode is ‘12’ – Telehealth – recipient</w:t>
      </w:r>
      <w:r w:rsidR="008D46FD">
        <w:rPr>
          <w:rStyle w:val="Hyperlink"/>
          <w:b/>
          <w:bCs/>
          <w:sz w:val="36"/>
          <w:szCs w:val="36"/>
        </w:rPr>
        <w:t xml:space="preserve"> (Rule 7 tab)</w:t>
      </w:r>
      <w:r>
        <w:rPr>
          <w:rStyle w:val="Hyperlink"/>
          <w:b/>
          <w:bCs/>
          <w:sz w:val="36"/>
          <w:szCs w:val="36"/>
        </w:rPr>
        <w:t>.</w:t>
      </w:r>
      <w:r w:rsidRPr="004B02A9">
        <w:rPr>
          <w:sz w:val="36"/>
          <w:szCs w:val="36"/>
        </w:rPr>
        <w:fldChar w:fldCharType="end"/>
      </w:r>
      <w:r w:rsidRPr="004B02A9">
        <w:rPr>
          <w:sz w:val="36"/>
          <w:szCs w:val="36"/>
        </w:rPr>
        <w:t xml:space="preserve"> </w:t>
      </w:r>
    </w:p>
    <w:p w14:paraId="5E2CB62E" w14:textId="77777777" w:rsidR="00E77B5A" w:rsidRPr="00E77B5A" w:rsidRDefault="00E77B5A" w:rsidP="00E75E04">
      <w:pPr>
        <w:pStyle w:val="Heading1"/>
      </w:pPr>
      <w:bookmarkStart w:id="29" w:name="_Toc129948823"/>
      <w:bookmarkStart w:id="30" w:name="_Toc129948850"/>
      <w:bookmarkEnd w:id="29"/>
      <w:bookmarkEnd w:id="30"/>
      <w:r w:rsidRPr="00E77B5A">
        <w:br w:type="page"/>
      </w:r>
      <w:bookmarkStart w:id="31" w:name="_Toc128055675"/>
      <w:bookmarkStart w:id="32" w:name="_Toc137546426"/>
      <w:bookmarkStart w:id="33" w:name="_Toc168662792"/>
      <w:r w:rsidRPr="00E77B5A">
        <w:lastRenderedPageBreak/>
        <w:t>Rule 8 – Reporting Home Delivered Procedures</w:t>
      </w:r>
      <w:bookmarkEnd w:id="31"/>
      <w:bookmarkEnd w:id="32"/>
      <w:bookmarkEnd w:id="33"/>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5"/>
        <w:gridCol w:w="702"/>
        <w:gridCol w:w="2478"/>
        <w:gridCol w:w="2101"/>
        <w:gridCol w:w="3566"/>
        <w:gridCol w:w="2824"/>
      </w:tblGrid>
      <w:tr w:rsidR="00E77B5A" w:rsidRPr="00E77B5A" w14:paraId="11CC746E" w14:textId="77777777" w:rsidTr="00164159">
        <w:trPr>
          <w:trHeight w:val="540"/>
        </w:trPr>
        <w:tc>
          <w:tcPr>
            <w:tcW w:w="2075" w:type="dxa"/>
            <w:shd w:val="clear" w:color="auto" w:fill="001D47"/>
            <w:vAlign w:val="center"/>
            <w:hideMark/>
          </w:tcPr>
          <w:p w14:paraId="7455FDD1" w14:textId="77777777" w:rsidR="00E77B5A" w:rsidRPr="00E77B5A" w:rsidRDefault="00E77B5A" w:rsidP="00E77B5A">
            <w:pPr>
              <w:pStyle w:val="BodyText"/>
              <w:rPr>
                <w:b/>
                <w:bCs/>
              </w:rPr>
            </w:pPr>
            <w:r w:rsidRPr="00E75E04">
              <w:rPr>
                <w:b/>
                <w:bCs/>
                <w:color w:val="FFFFFF" w:themeColor="background1"/>
                <w:sz w:val="32"/>
                <w:szCs w:val="32"/>
              </w:rPr>
              <w:t>Rule No.</w:t>
            </w:r>
          </w:p>
        </w:tc>
        <w:tc>
          <w:tcPr>
            <w:tcW w:w="702" w:type="dxa"/>
            <w:shd w:val="clear" w:color="auto" w:fill="B8E5FC"/>
            <w:vAlign w:val="center"/>
            <w:hideMark/>
          </w:tcPr>
          <w:p w14:paraId="21F7257A" w14:textId="77777777" w:rsidR="00E77B5A" w:rsidRPr="00E77B5A" w:rsidRDefault="00E77B5A" w:rsidP="00E77B5A">
            <w:pPr>
              <w:pStyle w:val="BodyText"/>
              <w:rPr>
                <w:b/>
                <w:bCs/>
              </w:rPr>
            </w:pPr>
            <w:r w:rsidRPr="00E75E04">
              <w:rPr>
                <w:b/>
                <w:bCs/>
                <w:sz w:val="32"/>
                <w:szCs w:val="32"/>
              </w:rPr>
              <w:t>8</w:t>
            </w:r>
          </w:p>
        </w:tc>
        <w:tc>
          <w:tcPr>
            <w:tcW w:w="2478" w:type="dxa"/>
            <w:shd w:val="clear" w:color="auto" w:fill="001D47"/>
            <w:vAlign w:val="center"/>
            <w:hideMark/>
          </w:tcPr>
          <w:p w14:paraId="21657830" w14:textId="0C9678E0" w:rsidR="00E77B5A" w:rsidRPr="00E77B5A" w:rsidRDefault="003360C0" w:rsidP="00E77B5A">
            <w:pPr>
              <w:pStyle w:val="BodyText"/>
              <w:rPr>
                <w:b/>
                <w:bCs/>
              </w:rPr>
            </w:pPr>
            <w:r>
              <w:rPr>
                <w:b/>
                <w:bCs/>
                <w:color w:val="FFFFFF" w:themeColor="background1"/>
                <w:sz w:val="32"/>
                <w:szCs w:val="32"/>
              </w:rPr>
              <w:t>Business Rule</w:t>
            </w:r>
          </w:p>
        </w:tc>
        <w:tc>
          <w:tcPr>
            <w:tcW w:w="8491" w:type="dxa"/>
            <w:gridSpan w:val="3"/>
            <w:shd w:val="clear" w:color="auto" w:fill="B8E5FC"/>
            <w:vAlign w:val="center"/>
            <w:hideMark/>
          </w:tcPr>
          <w:p w14:paraId="4CC08C20" w14:textId="77777777" w:rsidR="00E77B5A" w:rsidRPr="00E77B5A" w:rsidRDefault="00E77B5A" w:rsidP="00E77B5A">
            <w:pPr>
              <w:pStyle w:val="BodyText"/>
              <w:rPr>
                <w:b/>
                <w:bCs/>
              </w:rPr>
            </w:pPr>
            <w:r w:rsidRPr="007C2700">
              <w:rPr>
                <w:bCs/>
              </w:rPr>
              <w:t>Reporting Home Delivered Procedures</w:t>
            </w:r>
          </w:p>
        </w:tc>
      </w:tr>
      <w:tr w:rsidR="00E77B5A" w:rsidRPr="00E77B5A" w14:paraId="0406D1F1" w14:textId="77777777" w:rsidTr="00164159">
        <w:trPr>
          <w:trHeight w:val="315"/>
        </w:trPr>
        <w:tc>
          <w:tcPr>
            <w:tcW w:w="2075" w:type="dxa"/>
            <w:shd w:val="clear" w:color="auto" w:fill="94DCEF"/>
            <w:vAlign w:val="center"/>
          </w:tcPr>
          <w:p w14:paraId="01715F85" w14:textId="77777777" w:rsidR="00E77B5A" w:rsidRPr="00E77B5A" w:rsidRDefault="00E77B5A" w:rsidP="00E77B5A">
            <w:pPr>
              <w:pStyle w:val="BodyText"/>
              <w:rPr>
                <w:b/>
                <w:bCs/>
              </w:rPr>
            </w:pPr>
            <w:r w:rsidRPr="00E77B5A">
              <w:rPr>
                <w:b/>
                <w:bCs/>
              </w:rPr>
              <w:t>Business Process</w:t>
            </w:r>
          </w:p>
        </w:tc>
        <w:tc>
          <w:tcPr>
            <w:tcW w:w="11671" w:type="dxa"/>
            <w:gridSpan w:val="5"/>
            <w:shd w:val="clear" w:color="auto" w:fill="auto"/>
            <w:vAlign w:val="center"/>
          </w:tcPr>
          <w:p w14:paraId="6AAADDBA" w14:textId="28B3B07C" w:rsidR="00E77B5A" w:rsidRPr="007C2700" w:rsidRDefault="00E77B5A" w:rsidP="00E77B5A">
            <w:pPr>
              <w:pStyle w:val="BodyText"/>
              <w:rPr>
                <w:b/>
                <w:u w:val="single"/>
              </w:rPr>
            </w:pPr>
            <w:r w:rsidRPr="007C2700">
              <w:rPr>
                <w:b/>
                <w:u w:val="single"/>
              </w:rPr>
              <w:t>One single service event is to be provided to the QHNAPDC for each patient that receives a ‘home delivered procedure’ for each reference month</w:t>
            </w:r>
            <w:r w:rsidR="003753F8" w:rsidRPr="007C2700">
              <w:rPr>
                <w:b/>
                <w:u w:val="single"/>
              </w:rPr>
              <w:t xml:space="preserve">. </w:t>
            </w:r>
            <w:r w:rsidRPr="007C2700">
              <w:rPr>
                <w:b/>
                <w:u w:val="single"/>
              </w:rPr>
              <w:t>Refer to the IHACPA Compendium for further details.</w:t>
            </w:r>
          </w:p>
          <w:p w14:paraId="577774E8" w14:textId="77777777" w:rsidR="00164159" w:rsidRDefault="00164159" w:rsidP="00164159">
            <w:pPr>
              <w:pStyle w:val="BodyText"/>
              <w:rPr>
                <w:bCs/>
              </w:rPr>
            </w:pPr>
            <w:r w:rsidRPr="00E77B5A">
              <w:rPr>
                <w:bCs/>
              </w:rPr>
              <w:t>The Independent Health and Aged Care Pricing Authority (IHACPA) requires a single service event for each reference month for any service event with a ’home delivered procedure’ Tier 2 code:</w:t>
            </w:r>
          </w:p>
          <w:p w14:paraId="1CCCC51F" w14:textId="77777777" w:rsidR="00164159" w:rsidRPr="00E77B5A" w:rsidRDefault="00164159" w:rsidP="00164159">
            <w:pPr>
              <w:pStyle w:val="BodyText"/>
              <w:rPr>
                <w:bCs/>
              </w:rPr>
            </w:pPr>
          </w:p>
          <w:p w14:paraId="76B2EBC2" w14:textId="0234F506" w:rsidR="00164159" w:rsidRPr="00E77B5A" w:rsidRDefault="007C2700" w:rsidP="00164159">
            <w:pPr>
              <w:pStyle w:val="ListBullet"/>
              <w:rPr>
                <w:bCs/>
              </w:rPr>
            </w:pPr>
            <w:r>
              <w:rPr>
                <w:bCs/>
              </w:rPr>
              <w:t>1</w:t>
            </w:r>
            <w:r w:rsidR="00164159" w:rsidRPr="00E77B5A">
              <w:rPr>
                <w:bCs/>
              </w:rPr>
              <w:t>0.15</w:t>
            </w:r>
            <w:r w:rsidR="00164159" w:rsidRPr="00E77B5A">
              <w:t xml:space="preserve"> – Renal Dialysis - Haemodialysis - Home Delivered</w:t>
            </w:r>
          </w:p>
          <w:p w14:paraId="490B65D7" w14:textId="13F15731" w:rsidR="00164159" w:rsidRPr="00E77B5A" w:rsidRDefault="00164159" w:rsidP="00164159">
            <w:pPr>
              <w:pStyle w:val="ListBullet"/>
              <w:rPr>
                <w:bCs/>
              </w:rPr>
            </w:pPr>
            <w:r w:rsidRPr="00E77B5A">
              <w:rPr>
                <w:bCs/>
              </w:rPr>
              <w:t>10.16 – Renal Dialysis - Peritoneal Dialysis - Home Delivered</w:t>
            </w:r>
          </w:p>
          <w:p w14:paraId="554EC664" w14:textId="14FA98D3" w:rsidR="00164159" w:rsidRPr="00E77B5A" w:rsidRDefault="00164159" w:rsidP="00164159">
            <w:pPr>
              <w:pStyle w:val="ListBullet"/>
              <w:rPr>
                <w:bCs/>
              </w:rPr>
            </w:pPr>
            <w:r w:rsidRPr="00E77B5A">
              <w:rPr>
                <w:bCs/>
              </w:rPr>
              <w:t>10.17 – Total Parenteral Nutrition - Home Delivered</w:t>
            </w:r>
          </w:p>
          <w:p w14:paraId="4A1DC9A3" w14:textId="79733AB3" w:rsidR="00164159" w:rsidRPr="00E77B5A" w:rsidRDefault="00164159" w:rsidP="00164159">
            <w:pPr>
              <w:pStyle w:val="ListBullet"/>
              <w:rPr>
                <w:bCs/>
              </w:rPr>
            </w:pPr>
            <w:r w:rsidRPr="00E77B5A">
              <w:rPr>
                <w:bCs/>
              </w:rPr>
              <w:t>10.18 – Enteral Nutrition - Home Delivered</w:t>
            </w:r>
          </w:p>
          <w:p w14:paraId="73CD4DD9" w14:textId="77A1136D" w:rsidR="00164159" w:rsidRPr="00E77B5A" w:rsidRDefault="00164159" w:rsidP="00164159">
            <w:pPr>
              <w:pStyle w:val="ListBullet"/>
              <w:rPr>
                <w:bCs/>
              </w:rPr>
            </w:pPr>
            <w:r w:rsidRPr="00E77B5A">
              <w:rPr>
                <w:bCs/>
              </w:rPr>
              <w:t>10.19 – Ventilation - Home Delivered</w:t>
            </w:r>
          </w:p>
          <w:p w14:paraId="263083A8" w14:textId="77777777" w:rsidR="00164159" w:rsidRPr="00E77B5A" w:rsidRDefault="00164159" w:rsidP="00164159">
            <w:pPr>
              <w:pStyle w:val="BodyText"/>
              <w:rPr>
                <w:bCs/>
              </w:rPr>
            </w:pPr>
          </w:p>
          <w:p w14:paraId="756A247D" w14:textId="2E378765" w:rsidR="00164159" w:rsidRPr="00E77B5A" w:rsidRDefault="00164159" w:rsidP="00164159">
            <w:pPr>
              <w:pStyle w:val="BodyText"/>
              <w:rPr>
                <w:bCs/>
                <w:u w:val="single"/>
              </w:rPr>
            </w:pPr>
            <w:r w:rsidRPr="00E77B5A">
              <w:rPr>
                <w:bCs/>
              </w:rPr>
              <w:t>No multiplier is required to be applied.</w:t>
            </w:r>
          </w:p>
        </w:tc>
      </w:tr>
      <w:tr w:rsidR="00E77B5A" w:rsidRPr="00E77B5A" w14:paraId="5D75108E" w14:textId="77777777" w:rsidTr="007C2700">
        <w:trPr>
          <w:trHeight w:val="315"/>
        </w:trPr>
        <w:tc>
          <w:tcPr>
            <w:tcW w:w="2075" w:type="dxa"/>
            <w:shd w:val="clear" w:color="auto" w:fill="94DCEF"/>
            <w:vAlign w:val="center"/>
            <w:hideMark/>
          </w:tcPr>
          <w:p w14:paraId="14B0B33D" w14:textId="77777777" w:rsidR="00E77B5A" w:rsidRPr="00E77B5A" w:rsidRDefault="00E77B5A" w:rsidP="00E77B5A">
            <w:pPr>
              <w:pStyle w:val="BodyText"/>
              <w:rPr>
                <w:b/>
                <w:bCs/>
              </w:rPr>
            </w:pPr>
            <w:r w:rsidRPr="00E77B5A">
              <w:rPr>
                <w:b/>
                <w:bCs/>
              </w:rPr>
              <w:t>File Format Item #</w:t>
            </w:r>
          </w:p>
        </w:tc>
        <w:tc>
          <w:tcPr>
            <w:tcW w:w="702" w:type="dxa"/>
            <w:shd w:val="clear" w:color="auto" w:fill="B8E5FC"/>
            <w:vAlign w:val="center"/>
            <w:hideMark/>
          </w:tcPr>
          <w:p w14:paraId="59D8F6D6" w14:textId="77777777" w:rsidR="00E77B5A" w:rsidRPr="00E77B5A" w:rsidRDefault="00E77B5A" w:rsidP="00E77B5A">
            <w:pPr>
              <w:pStyle w:val="BodyText"/>
              <w:rPr>
                <w:bCs/>
              </w:rPr>
            </w:pPr>
            <w:r w:rsidRPr="00E77B5A">
              <w:rPr>
                <w:bCs/>
              </w:rPr>
              <w:t>N/A</w:t>
            </w:r>
          </w:p>
        </w:tc>
        <w:tc>
          <w:tcPr>
            <w:tcW w:w="2478" w:type="dxa"/>
            <w:shd w:val="clear" w:color="auto" w:fill="94DCEF"/>
            <w:vAlign w:val="center"/>
            <w:hideMark/>
          </w:tcPr>
          <w:p w14:paraId="73825B1D" w14:textId="77777777" w:rsidR="00E77B5A" w:rsidRPr="00E77B5A" w:rsidRDefault="00E77B5A" w:rsidP="00E77B5A">
            <w:pPr>
              <w:pStyle w:val="BodyText"/>
              <w:rPr>
                <w:b/>
                <w:bCs/>
              </w:rPr>
            </w:pPr>
            <w:r w:rsidRPr="00E77B5A">
              <w:rPr>
                <w:b/>
                <w:bCs/>
              </w:rPr>
              <w:t>File Format Data Item</w:t>
            </w:r>
          </w:p>
        </w:tc>
        <w:tc>
          <w:tcPr>
            <w:tcW w:w="2101" w:type="dxa"/>
            <w:shd w:val="clear" w:color="auto" w:fill="B8E5FC"/>
            <w:vAlign w:val="center"/>
            <w:hideMark/>
          </w:tcPr>
          <w:p w14:paraId="6AEE4C89" w14:textId="77777777" w:rsidR="00E77B5A" w:rsidRPr="00E77B5A" w:rsidRDefault="00E77B5A" w:rsidP="00E77B5A">
            <w:pPr>
              <w:pStyle w:val="BodyText"/>
              <w:rPr>
                <w:bCs/>
              </w:rPr>
            </w:pPr>
            <w:r w:rsidRPr="00E77B5A">
              <w:rPr>
                <w:bCs/>
              </w:rPr>
              <w:t>N/A</w:t>
            </w:r>
          </w:p>
        </w:tc>
        <w:tc>
          <w:tcPr>
            <w:tcW w:w="3566" w:type="dxa"/>
            <w:shd w:val="clear" w:color="auto" w:fill="94DCEF"/>
            <w:vAlign w:val="center"/>
          </w:tcPr>
          <w:p w14:paraId="52FB1E47" w14:textId="77777777" w:rsidR="00E77B5A" w:rsidRPr="00E77B5A" w:rsidRDefault="00E77B5A" w:rsidP="00E77B5A">
            <w:pPr>
              <w:pStyle w:val="BodyText"/>
              <w:rPr>
                <w:bCs/>
                <w:u w:val="single"/>
              </w:rPr>
            </w:pPr>
            <w:r w:rsidRPr="00E77B5A">
              <w:rPr>
                <w:b/>
                <w:bCs/>
              </w:rPr>
              <w:t>Relevant Values in Data Domain</w:t>
            </w:r>
          </w:p>
        </w:tc>
        <w:tc>
          <w:tcPr>
            <w:tcW w:w="2824" w:type="dxa"/>
            <w:shd w:val="clear" w:color="auto" w:fill="auto"/>
            <w:vAlign w:val="center"/>
          </w:tcPr>
          <w:p w14:paraId="06C56309" w14:textId="77777777" w:rsidR="00E77B5A" w:rsidRPr="00E77B5A" w:rsidRDefault="00E77B5A" w:rsidP="00E77B5A">
            <w:pPr>
              <w:pStyle w:val="BodyText"/>
              <w:rPr>
                <w:bCs/>
              </w:rPr>
            </w:pPr>
            <w:r w:rsidRPr="00E77B5A">
              <w:rPr>
                <w:bCs/>
              </w:rPr>
              <w:t>N/A</w:t>
            </w:r>
          </w:p>
        </w:tc>
      </w:tr>
    </w:tbl>
    <w:p w14:paraId="5CAA4356" w14:textId="77777777" w:rsidR="00E77B5A" w:rsidRPr="00E77B5A" w:rsidRDefault="00E77B5A" w:rsidP="00E75E04">
      <w:pPr>
        <w:pStyle w:val="Heading1"/>
      </w:pPr>
      <w:r w:rsidRPr="00E77B5A">
        <w:br w:type="page"/>
      </w:r>
      <w:bookmarkStart w:id="34" w:name="_Toc128055676"/>
      <w:bookmarkStart w:id="35" w:name="_Toc137546427"/>
      <w:bookmarkStart w:id="36" w:name="_Toc168662793"/>
      <w:r w:rsidRPr="00E77B5A">
        <w:lastRenderedPageBreak/>
        <w:t>Rule 9 – Derive (primary) facility identifier</w:t>
      </w:r>
      <w:bookmarkEnd w:id="34"/>
      <w:bookmarkEnd w:id="35"/>
      <w:bookmarkEnd w:id="36"/>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5"/>
        <w:gridCol w:w="702"/>
        <w:gridCol w:w="2478"/>
        <w:gridCol w:w="2101"/>
        <w:gridCol w:w="3566"/>
        <w:gridCol w:w="2824"/>
      </w:tblGrid>
      <w:tr w:rsidR="00E77B5A" w:rsidRPr="00E77B5A" w14:paraId="23425C6E" w14:textId="77777777" w:rsidTr="00164159">
        <w:trPr>
          <w:trHeight w:val="540"/>
        </w:trPr>
        <w:tc>
          <w:tcPr>
            <w:tcW w:w="2075" w:type="dxa"/>
            <w:shd w:val="clear" w:color="auto" w:fill="001D47"/>
            <w:vAlign w:val="center"/>
            <w:hideMark/>
          </w:tcPr>
          <w:p w14:paraId="0AE6229F" w14:textId="77777777" w:rsidR="00E77B5A" w:rsidRPr="00E77B5A" w:rsidRDefault="00E77B5A" w:rsidP="00E77B5A">
            <w:pPr>
              <w:pStyle w:val="BodyText"/>
              <w:rPr>
                <w:b/>
                <w:bCs/>
              </w:rPr>
            </w:pPr>
            <w:r w:rsidRPr="00E75E04">
              <w:rPr>
                <w:b/>
                <w:bCs/>
                <w:color w:val="FFFFFF" w:themeColor="background1"/>
                <w:sz w:val="32"/>
                <w:szCs w:val="32"/>
              </w:rPr>
              <w:t>Rule No.</w:t>
            </w:r>
          </w:p>
        </w:tc>
        <w:tc>
          <w:tcPr>
            <w:tcW w:w="702" w:type="dxa"/>
            <w:shd w:val="clear" w:color="auto" w:fill="B8E5FC"/>
            <w:vAlign w:val="center"/>
            <w:hideMark/>
          </w:tcPr>
          <w:p w14:paraId="39CAE236" w14:textId="77777777" w:rsidR="00E77B5A" w:rsidRPr="00E77B5A" w:rsidRDefault="00E77B5A" w:rsidP="00E77B5A">
            <w:pPr>
              <w:pStyle w:val="BodyText"/>
              <w:rPr>
                <w:b/>
                <w:bCs/>
              </w:rPr>
            </w:pPr>
            <w:r w:rsidRPr="00E75E04">
              <w:rPr>
                <w:b/>
                <w:bCs/>
                <w:sz w:val="32"/>
                <w:szCs w:val="32"/>
              </w:rPr>
              <w:t>9</w:t>
            </w:r>
          </w:p>
        </w:tc>
        <w:tc>
          <w:tcPr>
            <w:tcW w:w="2478" w:type="dxa"/>
            <w:shd w:val="clear" w:color="auto" w:fill="001D47"/>
            <w:vAlign w:val="center"/>
            <w:hideMark/>
          </w:tcPr>
          <w:p w14:paraId="37551127" w14:textId="4BEB2E1B" w:rsidR="00E77B5A" w:rsidRPr="00E77B5A" w:rsidRDefault="003360C0" w:rsidP="00E77B5A">
            <w:pPr>
              <w:pStyle w:val="BodyText"/>
              <w:rPr>
                <w:b/>
                <w:bCs/>
              </w:rPr>
            </w:pPr>
            <w:r>
              <w:rPr>
                <w:b/>
                <w:bCs/>
                <w:color w:val="FFFFFF" w:themeColor="background1"/>
                <w:sz w:val="32"/>
                <w:szCs w:val="32"/>
              </w:rPr>
              <w:t>Business Rule</w:t>
            </w:r>
          </w:p>
        </w:tc>
        <w:tc>
          <w:tcPr>
            <w:tcW w:w="8491" w:type="dxa"/>
            <w:gridSpan w:val="3"/>
            <w:shd w:val="clear" w:color="auto" w:fill="B8E5FC"/>
            <w:vAlign w:val="center"/>
            <w:hideMark/>
          </w:tcPr>
          <w:p w14:paraId="557FCF59" w14:textId="185494FB" w:rsidR="00E77B5A" w:rsidRPr="00E77B5A" w:rsidRDefault="003360C0" w:rsidP="00E77B5A">
            <w:pPr>
              <w:pStyle w:val="BodyText"/>
              <w:rPr>
                <w:b/>
                <w:bCs/>
              </w:rPr>
            </w:pPr>
            <w:r w:rsidRPr="00E77B5A">
              <w:rPr>
                <w:bCs/>
              </w:rPr>
              <w:t>Derive (primary) facility identifier using the Reporting facility identifier</w:t>
            </w:r>
          </w:p>
        </w:tc>
      </w:tr>
      <w:tr w:rsidR="00E77B5A" w:rsidRPr="00E77B5A" w14:paraId="5E72E9A4" w14:textId="77777777" w:rsidTr="00164159">
        <w:trPr>
          <w:trHeight w:val="315"/>
        </w:trPr>
        <w:tc>
          <w:tcPr>
            <w:tcW w:w="2075" w:type="dxa"/>
            <w:shd w:val="clear" w:color="auto" w:fill="94DCEF"/>
            <w:vAlign w:val="center"/>
          </w:tcPr>
          <w:p w14:paraId="66624268" w14:textId="77777777" w:rsidR="00E77B5A" w:rsidRPr="00E77B5A" w:rsidRDefault="00E77B5A" w:rsidP="00E77B5A">
            <w:pPr>
              <w:pStyle w:val="BodyText"/>
              <w:rPr>
                <w:b/>
                <w:bCs/>
              </w:rPr>
            </w:pPr>
            <w:r w:rsidRPr="00E77B5A">
              <w:rPr>
                <w:b/>
                <w:bCs/>
              </w:rPr>
              <w:t>Business Process</w:t>
            </w:r>
          </w:p>
        </w:tc>
        <w:tc>
          <w:tcPr>
            <w:tcW w:w="11671" w:type="dxa"/>
            <w:gridSpan w:val="5"/>
            <w:shd w:val="clear" w:color="auto" w:fill="auto"/>
            <w:vAlign w:val="center"/>
          </w:tcPr>
          <w:p w14:paraId="49298ADD" w14:textId="77777777" w:rsidR="00E77B5A" w:rsidRPr="007C2700" w:rsidRDefault="00E77B5A" w:rsidP="00E77B5A">
            <w:pPr>
              <w:pStyle w:val="BodyText"/>
              <w:rPr>
                <w:b/>
                <w:u w:val="single"/>
              </w:rPr>
            </w:pPr>
            <w:r w:rsidRPr="007C2700">
              <w:rPr>
                <w:b/>
                <w:u w:val="single"/>
              </w:rPr>
              <w:t>Establishments that share the same HBCIS account (or other processing system) will utilise the reporting facility identifier to identify the correct (primary) facility identifier to which the activity should be attributed.</w:t>
            </w:r>
          </w:p>
          <w:p w14:paraId="12DCF523" w14:textId="77777777" w:rsidR="00164159" w:rsidRDefault="00164159" w:rsidP="00164159">
            <w:pPr>
              <w:pStyle w:val="BodyText"/>
              <w:rPr>
                <w:bCs/>
              </w:rPr>
            </w:pPr>
            <w:r w:rsidRPr="00E77B5A">
              <w:rPr>
                <w:bCs/>
              </w:rPr>
              <w:t>Statistical Services Branch will override the (primary) facility identifier with the value that is contained in the reporting facility identifier on load into the QHNAP system. The original facility identifier value that was supplied will be retained for audit purposes.</w:t>
            </w:r>
          </w:p>
          <w:p w14:paraId="62D18B28" w14:textId="77777777" w:rsidR="00164159" w:rsidRDefault="00164159" w:rsidP="00164159">
            <w:pPr>
              <w:pStyle w:val="BodyText"/>
              <w:rPr>
                <w:bCs/>
              </w:rPr>
            </w:pPr>
            <w:r w:rsidRPr="00E77B5A">
              <w:rPr>
                <w:bCs/>
              </w:rPr>
              <w:t>This derivation will only occur for a pre-defined list of valid facility combinations and at the reporting entity’s request.</w:t>
            </w:r>
          </w:p>
          <w:p w14:paraId="41E3FC92" w14:textId="77777777" w:rsidR="00164159" w:rsidRDefault="00164159" w:rsidP="00164159">
            <w:pPr>
              <w:pStyle w:val="BodyText"/>
              <w:rPr>
                <w:bCs/>
              </w:rPr>
            </w:pPr>
            <w:r w:rsidRPr="00E77B5A">
              <w:rPr>
                <w:bCs/>
              </w:rPr>
              <w:t>For HBCIS sites, the reporting facility identifier data item is originally captured in the APP module, Clinic Codes Screen, field [funding facility].</w:t>
            </w:r>
          </w:p>
          <w:p w14:paraId="629A8F28" w14:textId="37FB61CE" w:rsidR="00164159" w:rsidRPr="00E77B5A" w:rsidRDefault="00164159" w:rsidP="00164159">
            <w:pPr>
              <w:pStyle w:val="BodyText"/>
              <w:rPr>
                <w:bCs/>
                <w:u w:val="single"/>
              </w:rPr>
            </w:pPr>
            <w:r w:rsidRPr="00E77B5A">
              <w:t xml:space="preserve">Refer to the </w:t>
            </w:r>
            <w:r>
              <w:t>‘</w:t>
            </w:r>
            <w:hyperlink r:id="rId31" w:history="1">
              <w:r w:rsidRPr="00F07435">
                <w:rPr>
                  <w:rStyle w:val="Hyperlink"/>
                </w:rPr>
                <w:t>How to correctly attribute QHNAPDC data to a reporting facility</w:t>
              </w:r>
            </w:hyperlink>
            <w:r>
              <w:t>’</w:t>
            </w:r>
            <w:r w:rsidRPr="00E77B5A">
              <w:t xml:space="preserve"> for information on assigning reporting facility IDs.</w:t>
            </w:r>
          </w:p>
        </w:tc>
      </w:tr>
      <w:tr w:rsidR="00E77B5A" w:rsidRPr="00E77B5A" w14:paraId="67FAE980" w14:textId="77777777" w:rsidTr="007C2700">
        <w:trPr>
          <w:trHeight w:val="315"/>
        </w:trPr>
        <w:tc>
          <w:tcPr>
            <w:tcW w:w="2075" w:type="dxa"/>
            <w:shd w:val="clear" w:color="auto" w:fill="94DCEF"/>
            <w:vAlign w:val="center"/>
            <w:hideMark/>
          </w:tcPr>
          <w:p w14:paraId="797A18EF" w14:textId="77777777" w:rsidR="00E77B5A" w:rsidRPr="00E77B5A" w:rsidRDefault="00E77B5A" w:rsidP="00E77B5A">
            <w:pPr>
              <w:pStyle w:val="BodyText"/>
              <w:rPr>
                <w:b/>
                <w:bCs/>
              </w:rPr>
            </w:pPr>
            <w:r w:rsidRPr="00E77B5A">
              <w:rPr>
                <w:b/>
                <w:bCs/>
              </w:rPr>
              <w:t>File Format Item #</w:t>
            </w:r>
          </w:p>
        </w:tc>
        <w:tc>
          <w:tcPr>
            <w:tcW w:w="702" w:type="dxa"/>
            <w:shd w:val="clear" w:color="auto" w:fill="B8E5FC"/>
            <w:vAlign w:val="center"/>
            <w:hideMark/>
          </w:tcPr>
          <w:p w14:paraId="5C1B794A" w14:textId="77777777" w:rsidR="00E77B5A" w:rsidRPr="00E77B5A" w:rsidRDefault="00E77B5A" w:rsidP="00E77B5A">
            <w:pPr>
              <w:pStyle w:val="BodyText"/>
              <w:rPr>
                <w:bCs/>
              </w:rPr>
            </w:pPr>
            <w:r w:rsidRPr="00E77B5A">
              <w:rPr>
                <w:bCs/>
              </w:rPr>
              <w:t>N/A</w:t>
            </w:r>
          </w:p>
        </w:tc>
        <w:tc>
          <w:tcPr>
            <w:tcW w:w="2478" w:type="dxa"/>
            <w:shd w:val="clear" w:color="auto" w:fill="94DCEF"/>
            <w:vAlign w:val="center"/>
            <w:hideMark/>
          </w:tcPr>
          <w:p w14:paraId="2508FE73" w14:textId="77777777" w:rsidR="00E77B5A" w:rsidRPr="00E77B5A" w:rsidRDefault="00E77B5A" w:rsidP="00E77B5A">
            <w:pPr>
              <w:pStyle w:val="BodyText"/>
              <w:rPr>
                <w:b/>
                <w:bCs/>
              </w:rPr>
            </w:pPr>
            <w:r w:rsidRPr="00E77B5A">
              <w:rPr>
                <w:b/>
                <w:bCs/>
              </w:rPr>
              <w:t>File Format Data Item</w:t>
            </w:r>
          </w:p>
        </w:tc>
        <w:tc>
          <w:tcPr>
            <w:tcW w:w="2101" w:type="dxa"/>
            <w:shd w:val="clear" w:color="auto" w:fill="B8E5FC"/>
            <w:vAlign w:val="center"/>
            <w:hideMark/>
          </w:tcPr>
          <w:p w14:paraId="65165133" w14:textId="77777777" w:rsidR="00E77B5A" w:rsidRPr="00E77B5A" w:rsidRDefault="00E77B5A" w:rsidP="00E77B5A">
            <w:pPr>
              <w:pStyle w:val="BodyText"/>
              <w:rPr>
                <w:bCs/>
              </w:rPr>
            </w:pPr>
            <w:r w:rsidRPr="00E77B5A">
              <w:rPr>
                <w:bCs/>
              </w:rPr>
              <w:t>N/A</w:t>
            </w:r>
          </w:p>
        </w:tc>
        <w:tc>
          <w:tcPr>
            <w:tcW w:w="3566" w:type="dxa"/>
            <w:shd w:val="clear" w:color="auto" w:fill="94DCEF"/>
            <w:vAlign w:val="center"/>
          </w:tcPr>
          <w:p w14:paraId="2436000C" w14:textId="77777777" w:rsidR="00E77B5A" w:rsidRPr="00E77B5A" w:rsidRDefault="00E77B5A" w:rsidP="00E77B5A">
            <w:pPr>
              <w:pStyle w:val="BodyText"/>
              <w:rPr>
                <w:bCs/>
                <w:u w:val="single"/>
              </w:rPr>
            </w:pPr>
            <w:r w:rsidRPr="00E77B5A">
              <w:rPr>
                <w:b/>
                <w:bCs/>
              </w:rPr>
              <w:t>Relevant Values in Data Domain</w:t>
            </w:r>
          </w:p>
        </w:tc>
        <w:tc>
          <w:tcPr>
            <w:tcW w:w="2824" w:type="dxa"/>
            <w:shd w:val="clear" w:color="auto" w:fill="auto"/>
            <w:vAlign w:val="center"/>
          </w:tcPr>
          <w:p w14:paraId="46ACA320" w14:textId="77777777" w:rsidR="00E77B5A" w:rsidRPr="00E77B5A" w:rsidRDefault="00E77B5A" w:rsidP="00E77B5A">
            <w:pPr>
              <w:pStyle w:val="BodyText"/>
              <w:rPr>
                <w:bCs/>
              </w:rPr>
            </w:pPr>
            <w:r w:rsidRPr="00E77B5A">
              <w:rPr>
                <w:bCs/>
              </w:rPr>
              <w:t>N/A</w:t>
            </w:r>
          </w:p>
        </w:tc>
      </w:tr>
    </w:tbl>
    <w:p w14:paraId="16964BC7" w14:textId="77777777" w:rsidR="00E77B5A" w:rsidRPr="00E77B5A" w:rsidRDefault="00E77B5A" w:rsidP="004B7A67">
      <w:pPr>
        <w:pStyle w:val="Heading1"/>
      </w:pPr>
      <w:r w:rsidRPr="00E77B5A">
        <w:br w:type="page"/>
      </w:r>
      <w:bookmarkStart w:id="37" w:name="_Toc128055677"/>
      <w:bookmarkStart w:id="38" w:name="_Toc137546428"/>
      <w:bookmarkStart w:id="39" w:name="_Toc168662794"/>
      <w:r w:rsidRPr="00E77B5A">
        <w:lastRenderedPageBreak/>
        <w:t>Rule 10 – Permissible corporate clinic codes for self-referral</w:t>
      </w:r>
      <w:bookmarkEnd w:id="37"/>
      <w:bookmarkEnd w:id="38"/>
      <w:bookmarkEnd w:id="3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1"/>
        <w:gridCol w:w="701"/>
        <w:gridCol w:w="2474"/>
        <w:gridCol w:w="2841"/>
        <w:gridCol w:w="3380"/>
        <w:gridCol w:w="2279"/>
      </w:tblGrid>
      <w:tr w:rsidR="00E77B5A" w:rsidRPr="00E77B5A" w14:paraId="5C396365" w14:textId="77777777" w:rsidTr="004B7A67">
        <w:trPr>
          <w:trHeight w:val="540"/>
        </w:trPr>
        <w:tc>
          <w:tcPr>
            <w:tcW w:w="2071" w:type="dxa"/>
            <w:shd w:val="clear" w:color="auto" w:fill="001D47"/>
            <w:vAlign w:val="center"/>
            <w:hideMark/>
          </w:tcPr>
          <w:p w14:paraId="1EE5C7FE" w14:textId="77777777" w:rsidR="00E77B5A" w:rsidRPr="00E77B5A" w:rsidRDefault="00E77B5A" w:rsidP="00E77B5A">
            <w:pPr>
              <w:pStyle w:val="BodyText"/>
              <w:rPr>
                <w:b/>
                <w:bCs/>
              </w:rPr>
            </w:pPr>
            <w:r w:rsidRPr="004B7A67">
              <w:rPr>
                <w:b/>
                <w:bCs/>
                <w:color w:val="FFFFFF" w:themeColor="background1"/>
                <w:sz w:val="32"/>
                <w:szCs w:val="32"/>
              </w:rPr>
              <w:t>Rule No.</w:t>
            </w:r>
          </w:p>
        </w:tc>
        <w:tc>
          <w:tcPr>
            <w:tcW w:w="701" w:type="dxa"/>
            <w:shd w:val="clear" w:color="auto" w:fill="B8E5FC"/>
            <w:vAlign w:val="center"/>
            <w:hideMark/>
          </w:tcPr>
          <w:p w14:paraId="703625AD" w14:textId="77777777" w:rsidR="00E77B5A" w:rsidRPr="00E77B5A" w:rsidRDefault="00E77B5A" w:rsidP="00E77B5A">
            <w:pPr>
              <w:pStyle w:val="BodyText"/>
              <w:rPr>
                <w:b/>
                <w:bCs/>
              </w:rPr>
            </w:pPr>
            <w:r w:rsidRPr="004B7A67">
              <w:rPr>
                <w:b/>
                <w:bCs/>
                <w:sz w:val="32"/>
                <w:szCs w:val="32"/>
              </w:rPr>
              <w:t>10</w:t>
            </w:r>
          </w:p>
        </w:tc>
        <w:tc>
          <w:tcPr>
            <w:tcW w:w="2474" w:type="dxa"/>
            <w:shd w:val="clear" w:color="auto" w:fill="001D47"/>
            <w:vAlign w:val="center"/>
            <w:hideMark/>
          </w:tcPr>
          <w:p w14:paraId="685045D9" w14:textId="7F771152" w:rsidR="00E77B5A" w:rsidRPr="00E77B5A" w:rsidRDefault="003360C0" w:rsidP="00E77B5A">
            <w:pPr>
              <w:pStyle w:val="BodyText"/>
              <w:rPr>
                <w:b/>
                <w:bCs/>
              </w:rPr>
            </w:pPr>
            <w:r>
              <w:rPr>
                <w:b/>
                <w:bCs/>
                <w:color w:val="FFFFFF" w:themeColor="background1"/>
                <w:sz w:val="32"/>
                <w:szCs w:val="32"/>
              </w:rPr>
              <w:t>Business Rule</w:t>
            </w:r>
          </w:p>
        </w:tc>
        <w:tc>
          <w:tcPr>
            <w:tcW w:w="8500" w:type="dxa"/>
            <w:gridSpan w:val="3"/>
            <w:shd w:val="clear" w:color="auto" w:fill="B8E5FC"/>
            <w:vAlign w:val="center"/>
            <w:hideMark/>
          </w:tcPr>
          <w:p w14:paraId="6A94742A" w14:textId="15E08289" w:rsidR="00E77B5A" w:rsidRPr="00E77B5A" w:rsidRDefault="003360C0" w:rsidP="00E77B5A">
            <w:pPr>
              <w:pStyle w:val="BodyText"/>
              <w:rPr>
                <w:b/>
                <w:bCs/>
              </w:rPr>
            </w:pPr>
            <w:r w:rsidRPr="00E77B5A">
              <w:rPr>
                <w:bCs/>
              </w:rPr>
              <w:t>The self-referral indicator enables QHNAPDC’s mandatory data items of Service request received date and Service request source to be derived upon load within the QHNAPDC processing system for non-specialist type clinics (permissible CCCs) for which a facility or HHS has deemed that a patient can ‘self refer’ to that clinical service.</w:t>
            </w:r>
          </w:p>
        </w:tc>
      </w:tr>
      <w:tr w:rsidR="00E77B5A" w:rsidRPr="00E77B5A" w14:paraId="603FF1E6" w14:textId="77777777" w:rsidTr="004B7A67">
        <w:trPr>
          <w:trHeight w:val="315"/>
        </w:trPr>
        <w:tc>
          <w:tcPr>
            <w:tcW w:w="2071" w:type="dxa"/>
            <w:shd w:val="clear" w:color="auto" w:fill="94DCEF"/>
            <w:vAlign w:val="center"/>
          </w:tcPr>
          <w:p w14:paraId="15A955A1" w14:textId="77777777" w:rsidR="00E77B5A" w:rsidRPr="00E77B5A" w:rsidRDefault="00E77B5A" w:rsidP="00E77B5A">
            <w:pPr>
              <w:pStyle w:val="BodyText"/>
              <w:rPr>
                <w:b/>
                <w:bCs/>
              </w:rPr>
            </w:pPr>
            <w:r w:rsidRPr="00E77B5A">
              <w:rPr>
                <w:b/>
                <w:bCs/>
              </w:rPr>
              <w:t>Business Process</w:t>
            </w:r>
          </w:p>
        </w:tc>
        <w:tc>
          <w:tcPr>
            <w:tcW w:w="11675" w:type="dxa"/>
            <w:gridSpan w:val="5"/>
            <w:shd w:val="clear" w:color="auto" w:fill="auto"/>
            <w:vAlign w:val="center"/>
          </w:tcPr>
          <w:p w14:paraId="370993FB" w14:textId="77777777" w:rsidR="00E77B5A" w:rsidRPr="007C2700" w:rsidRDefault="00E77B5A" w:rsidP="00E77B5A">
            <w:pPr>
              <w:pStyle w:val="BodyText"/>
              <w:rPr>
                <w:b/>
                <w:u w:val="single"/>
              </w:rPr>
            </w:pPr>
            <w:r w:rsidRPr="007C2700">
              <w:rPr>
                <w:b/>
                <w:u w:val="single"/>
              </w:rPr>
              <w:t>The use of the self-referral indicator is at the discretion of a facility or HHS and was introduced to reduce the resource effort associated with the provision of the referral data items for patients attending clinics where they could ‘self refer’.</w:t>
            </w:r>
          </w:p>
          <w:p w14:paraId="7521725B" w14:textId="77777777" w:rsidR="00164159" w:rsidRPr="00E77B5A" w:rsidRDefault="00164159" w:rsidP="00164159">
            <w:pPr>
              <w:pStyle w:val="BodyText"/>
              <w:rPr>
                <w:bCs/>
              </w:rPr>
            </w:pPr>
            <w:r w:rsidRPr="00E77B5A">
              <w:rPr>
                <w:b/>
              </w:rPr>
              <w:t>This list of permissible CCCs is only relevant to the application of the self-referral indicator i.e.,</w:t>
            </w:r>
            <w:r w:rsidRPr="00E77B5A">
              <w:rPr>
                <w:bCs/>
              </w:rPr>
              <w:t xml:space="preserve"> to not permit the self-referral indicator to be applied globally to the service events of specialist clinics and does not preclude the use of the service request source of ‘70’ – Health care client – Self as a valid service request source code for service events where it is deemed by a HHS or facility that a patient can ‘self refer’ to that clinical service.</w:t>
            </w:r>
          </w:p>
          <w:p w14:paraId="1C46B950" w14:textId="1B6037C0" w:rsidR="00164159" w:rsidRPr="00E77B5A" w:rsidRDefault="00164159" w:rsidP="00164159">
            <w:pPr>
              <w:pStyle w:val="BodyText"/>
              <w:rPr>
                <w:bCs/>
                <w:u w:val="single"/>
              </w:rPr>
            </w:pPr>
            <w:r w:rsidRPr="00E77B5A">
              <w:t xml:space="preserve">See </w:t>
            </w:r>
            <w:hyperlink w:anchor="_Rule_10a_–" w:history="1">
              <w:r w:rsidRPr="00E77B5A">
                <w:rPr>
                  <w:rStyle w:val="Hyperlink"/>
                </w:rPr>
                <w:t>10a</w:t>
              </w:r>
            </w:hyperlink>
            <w:r w:rsidRPr="00E77B5A">
              <w:t xml:space="preserve"> and </w:t>
            </w:r>
            <w:hyperlink w:anchor="_Rule_10b_–" w:history="1">
              <w:r w:rsidRPr="00E77B5A">
                <w:rPr>
                  <w:rStyle w:val="Hyperlink"/>
                </w:rPr>
                <w:t>10b</w:t>
              </w:r>
            </w:hyperlink>
            <w:r w:rsidRPr="00E77B5A">
              <w:t xml:space="preserve"> for further information on Self-Referral CCCs.</w:t>
            </w:r>
          </w:p>
        </w:tc>
      </w:tr>
      <w:tr w:rsidR="00E77B5A" w:rsidRPr="00E77B5A" w14:paraId="371E0C0A" w14:textId="77777777" w:rsidTr="007C2700">
        <w:trPr>
          <w:trHeight w:val="315"/>
        </w:trPr>
        <w:tc>
          <w:tcPr>
            <w:tcW w:w="2071" w:type="dxa"/>
            <w:shd w:val="clear" w:color="auto" w:fill="94DCEF"/>
            <w:vAlign w:val="center"/>
            <w:hideMark/>
          </w:tcPr>
          <w:p w14:paraId="102FFB78" w14:textId="77777777" w:rsidR="00E77B5A" w:rsidRPr="00E77B5A" w:rsidRDefault="00E77B5A" w:rsidP="00E77B5A">
            <w:pPr>
              <w:pStyle w:val="BodyText"/>
              <w:rPr>
                <w:b/>
                <w:bCs/>
              </w:rPr>
            </w:pPr>
            <w:r w:rsidRPr="00E77B5A">
              <w:rPr>
                <w:b/>
                <w:bCs/>
              </w:rPr>
              <w:t>File Format Item #</w:t>
            </w:r>
          </w:p>
        </w:tc>
        <w:tc>
          <w:tcPr>
            <w:tcW w:w="701" w:type="dxa"/>
            <w:shd w:val="clear" w:color="auto" w:fill="B8E5FC"/>
            <w:vAlign w:val="center"/>
            <w:hideMark/>
          </w:tcPr>
          <w:p w14:paraId="1BCEE830" w14:textId="77777777" w:rsidR="00E77B5A" w:rsidRPr="00E77B5A" w:rsidRDefault="00E77B5A" w:rsidP="00E77B5A">
            <w:pPr>
              <w:pStyle w:val="BodyText"/>
              <w:rPr>
                <w:bCs/>
              </w:rPr>
            </w:pPr>
            <w:r w:rsidRPr="00E77B5A">
              <w:rPr>
                <w:bCs/>
              </w:rPr>
              <w:t>44</w:t>
            </w:r>
          </w:p>
        </w:tc>
        <w:tc>
          <w:tcPr>
            <w:tcW w:w="2474" w:type="dxa"/>
            <w:shd w:val="clear" w:color="auto" w:fill="94DCEF"/>
            <w:vAlign w:val="center"/>
            <w:hideMark/>
          </w:tcPr>
          <w:p w14:paraId="6BAE38C0" w14:textId="77777777" w:rsidR="00E77B5A" w:rsidRPr="00E77B5A" w:rsidRDefault="00E77B5A" w:rsidP="00E77B5A">
            <w:pPr>
              <w:pStyle w:val="BodyText"/>
              <w:rPr>
                <w:b/>
                <w:bCs/>
              </w:rPr>
            </w:pPr>
            <w:r w:rsidRPr="00E77B5A">
              <w:rPr>
                <w:b/>
                <w:bCs/>
              </w:rPr>
              <w:t>File Format Data Item</w:t>
            </w:r>
          </w:p>
        </w:tc>
        <w:tc>
          <w:tcPr>
            <w:tcW w:w="2841" w:type="dxa"/>
            <w:shd w:val="clear" w:color="auto" w:fill="B8E5FC"/>
            <w:vAlign w:val="center"/>
            <w:hideMark/>
          </w:tcPr>
          <w:p w14:paraId="15C40A40" w14:textId="77777777" w:rsidR="00E77B5A" w:rsidRPr="00E77B5A" w:rsidRDefault="00EC2651" w:rsidP="00E77B5A">
            <w:pPr>
              <w:pStyle w:val="BodyText"/>
              <w:rPr>
                <w:bCs/>
              </w:rPr>
            </w:pPr>
            <w:hyperlink r:id="rId32" w:history="1">
              <w:r w:rsidR="00E77B5A" w:rsidRPr="00E77B5A">
                <w:rPr>
                  <w:rStyle w:val="Hyperlink"/>
                  <w:bCs/>
                </w:rPr>
                <w:t>Self-referral indicator</w:t>
              </w:r>
            </w:hyperlink>
          </w:p>
        </w:tc>
        <w:tc>
          <w:tcPr>
            <w:tcW w:w="3380" w:type="dxa"/>
            <w:shd w:val="clear" w:color="auto" w:fill="94DCEF"/>
            <w:vAlign w:val="center"/>
          </w:tcPr>
          <w:p w14:paraId="1CC9ED54" w14:textId="77777777" w:rsidR="00E77B5A" w:rsidRPr="00E77B5A" w:rsidRDefault="00E77B5A" w:rsidP="00E77B5A">
            <w:pPr>
              <w:pStyle w:val="BodyText"/>
              <w:rPr>
                <w:bCs/>
                <w:u w:val="single"/>
              </w:rPr>
            </w:pPr>
            <w:r w:rsidRPr="00E77B5A">
              <w:rPr>
                <w:b/>
                <w:bCs/>
              </w:rPr>
              <w:t>Relevant Values in Data Domain</w:t>
            </w:r>
          </w:p>
        </w:tc>
        <w:tc>
          <w:tcPr>
            <w:tcW w:w="2279" w:type="dxa"/>
            <w:shd w:val="clear" w:color="auto" w:fill="auto"/>
            <w:vAlign w:val="center"/>
          </w:tcPr>
          <w:p w14:paraId="09A26C36" w14:textId="77777777" w:rsidR="00E77B5A" w:rsidRPr="00E77B5A" w:rsidRDefault="00E77B5A" w:rsidP="00E77B5A">
            <w:pPr>
              <w:pStyle w:val="BodyText"/>
              <w:rPr>
                <w:bCs/>
              </w:rPr>
            </w:pPr>
            <w:r w:rsidRPr="00E77B5A">
              <w:rPr>
                <w:bCs/>
              </w:rPr>
              <w:t>N/A</w:t>
            </w:r>
          </w:p>
        </w:tc>
      </w:tr>
    </w:tbl>
    <w:bookmarkStart w:id="40" w:name="_Toc129948824"/>
    <w:bookmarkStart w:id="41" w:name="_Toc129948851"/>
    <w:p w14:paraId="337D4896" w14:textId="11391F79" w:rsidR="00E77B5A" w:rsidRPr="008D46FD" w:rsidRDefault="004B7A67" w:rsidP="004B7A67">
      <w:pPr>
        <w:pStyle w:val="Callout"/>
        <w:rPr>
          <w:sz w:val="28"/>
          <w:szCs w:val="28"/>
        </w:rPr>
      </w:pPr>
      <w:r w:rsidRPr="008D46FD">
        <w:fldChar w:fldCharType="begin"/>
      </w:r>
      <w:r w:rsidR="008D46FD">
        <w:rPr>
          <w:sz w:val="28"/>
          <w:szCs w:val="28"/>
        </w:rPr>
        <w:instrText>HYPERLINK "https://www.health.qld.gov.au/__data/assets/excel_doc/0030/1326378/QHNAPDC-Clinic-Mapping-and-Business-Rules-6-7-10-12-14-from-01-July-2024.xlsx"</w:instrText>
      </w:r>
      <w:r w:rsidRPr="008D46FD">
        <w:fldChar w:fldCharType="separate"/>
      </w:r>
      <w:r w:rsidRPr="008D46FD">
        <w:rPr>
          <w:rStyle w:val="Hyperlink"/>
          <w:b/>
          <w:bCs/>
          <w:sz w:val="28"/>
          <w:szCs w:val="28"/>
        </w:rPr>
        <w:t>Click here to view the Corporate Clinic Codes to which a patient can self refer</w:t>
      </w:r>
      <w:r w:rsidR="008D46FD" w:rsidRPr="008D46FD">
        <w:rPr>
          <w:rStyle w:val="Hyperlink"/>
          <w:b/>
          <w:bCs/>
          <w:sz w:val="28"/>
          <w:szCs w:val="28"/>
        </w:rPr>
        <w:t xml:space="preserve"> (Rule 10 tab)</w:t>
      </w:r>
      <w:r w:rsidRPr="008D46FD">
        <w:rPr>
          <w:rStyle w:val="Hyperlink"/>
          <w:b/>
          <w:bCs/>
          <w:sz w:val="28"/>
          <w:szCs w:val="28"/>
        </w:rPr>
        <w:t>.</w:t>
      </w:r>
      <w:r w:rsidRPr="008D46FD">
        <w:rPr>
          <w:rStyle w:val="Hyperlink"/>
          <w:b/>
          <w:bCs/>
          <w:sz w:val="28"/>
          <w:szCs w:val="28"/>
        </w:rPr>
        <w:fldChar w:fldCharType="end"/>
      </w:r>
      <w:bookmarkEnd w:id="40"/>
      <w:bookmarkEnd w:id="41"/>
    </w:p>
    <w:p w14:paraId="019CCB8D" w14:textId="77777777" w:rsidR="00E77B5A" w:rsidRPr="00E77B5A" w:rsidRDefault="00E77B5A" w:rsidP="004B7A67">
      <w:pPr>
        <w:pStyle w:val="Heading1"/>
      </w:pPr>
      <w:bookmarkStart w:id="42" w:name="_Rule_10a_–"/>
      <w:bookmarkEnd w:id="42"/>
      <w:r w:rsidRPr="00E77B5A">
        <w:br w:type="page"/>
      </w:r>
      <w:bookmarkStart w:id="43" w:name="_Toc128055679"/>
      <w:bookmarkStart w:id="44" w:name="_Toc137546429"/>
      <w:bookmarkStart w:id="45" w:name="_Toc168662795"/>
      <w:r w:rsidRPr="00E77B5A">
        <w:lastRenderedPageBreak/>
        <w:t>Rule 10a – Derive service request (referral) received date</w:t>
      </w:r>
      <w:bookmarkEnd w:id="43"/>
      <w:bookmarkEnd w:id="44"/>
      <w:bookmarkEnd w:id="45"/>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9"/>
        <w:gridCol w:w="728"/>
        <w:gridCol w:w="2469"/>
        <w:gridCol w:w="2835"/>
        <w:gridCol w:w="3366"/>
        <w:gridCol w:w="2279"/>
      </w:tblGrid>
      <w:tr w:rsidR="00E77B5A" w:rsidRPr="00E77B5A" w14:paraId="2CC34A85" w14:textId="77777777" w:rsidTr="00164159">
        <w:trPr>
          <w:trHeight w:val="540"/>
        </w:trPr>
        <w:tc>
          <w:tcPr>
            <w:tcW w:w="2069" w:type="dxa"/>
            <w:shd w:val="clear" w:color="auto" w:fill="001D47"/>
            <w:vAlign w:val="center"/>
            <w:hideMark/>
          </w:tcPr>
          <w:p w14:paraId="77398875" w14:textId="77777777" w:rsidR="00E77B5A" w:rsidRPr="00E77B5A" w:rsidRDefault="00E77B5A" w:rsidP="00E77B5A">
            <w:pPr>
              <w:pStyle w:val="BodyText"/>
              <w:rPr>
                <w:b/>
                <w:bCs/>
              </w:rPr>
            </w:pPr>
            <w:r w:rsidRPr="004B7A67">
              <w:rPr>
                <w:b/>
                <w:bCs/>
                <w:color w:val="FFFFFF" w:themeColor="background1"/>
                <w:sz w:val="32"/>
                <w:szCs w:val="32"/>
              </w:rPr>
              <w:t>Rule No.</w:t>
            </w:r>
          </w:p>
        </w:tc>
        <w:tc>
          <w:tcPr>
            <w:tcW w:w="728" w:type="dxa"/>
            <w:shd w:val="clear" w:color="auto" w:fill="B8E5FC"/>
            <w:vAlign w:val="center"/>
            <w:hideMark/>
          </w:tcPr>
          <w:p w14:paraId="7534DF19" w14:textId="77777777" w:rsidR="00E77B5A" w:rsidRPr="00E77B5A" w:rsidRDefault="00E77B5A" w:rsidP="00E77B5A">
            <w:pPr>
              <w:pStyle w:val="BodyText"/>
              <w:rPr>
                <w:b/>
                <w:bCs/>
              </w:rPr>
            </w:pPr>
            <w:r w:rsidRPr="004B7A67">
              <w:rPr>
                <w:b/>
                <w:bCs/>
                <w:sz w:val="32"/>
                <w:szCs w:val="32"/>
              </w:rPr>
              <w:t>10a</w:t>
            </w:r>
          </w:p>
        </w:tc>
        <w:tc>
          <w:tcPr>
            <w:tcW w:w="2469" w:type="dxa"/>
            <w:shd w:val="clear" w:color="auto" w:fill="001D47"/>
            <w:vAlign w:val="center"/>
            <w:hideMark/>
          </w:tcPr>
          <w:p w14:paraId="085FAB5C" w14:textId="07D006D6" w:rsidR="00E77B5A" w:rsidRPr="00E77B5A" w:rsidRDefault="00AF3027" w:rsidP="00E77B5A">
            <w:pPr>
              <w:pStyle w:val="BodyText"/>
              <w:rPr>
                <w:b/>
                <w:bCs/>
              </w:rPr>
            </w:pPr>
            <w:r>
              <w:rPr>
                <w:b/>
                <w:bCs/>
                <w:color w:val="FFFFFF" w:themeColor="background1"/>
                <w:sz w:val="32"/>
                <w:szCs w:val="32"/>
              </w:rPr>
              <w:t>Business Rule</w:t>
            </w:r>
          </w:p>
        </w:tc>
        <w:tc>
          <w:tcPr>
            <w:tcW w:w="8480" w:type="dxa"/>
            <w:gridSpan w:val="3"/>
            <w:shd w:val="clear" w:color="auto" w:fill="B8E5FC"/>
            <w:vAlign w:val="center"/>
            <w:hideMark/>
          </w:tcPr>
          <w:p w14:paraId="593DA3D7" w14:textId="52A301E7" w:rsidR="00E77B5A" w:rsidRPr="00E77B5A" w:rsidRDefault="00AF3027" w:rsidP="00E77B5A">
            <w:pPr>
              <w:pStyle w:val="BodyText"/>
              <w:rPr>
                <w:b/>
                <w:bCs/>
              </w:rPr>
            </w:pPr>
            <w:r w:rsidRPr="00E77B5A">
              <w:rPr>
                <w:bCs/>
              </w:rPr>
              <w:t>Derive service request (referral) received date using the Self-Referral indicator</w:t>
            </w:r>
          </w:p>
        </w:tc>
      </w:tr>
      <w:tr w:rsidR="00E77B5A" w:rsidRPr="00E77B5A" w14:paraId="0C978B20" w14:textId="77777777" w:rsidTr="00164159">
        <w:trPr>
          <w:trHeight w:val="315"/>
        </w:trPr>
        <w:tc>
          <w:tcPr>
            <w:tcW w:w="2069" w:type="dxa"/>
            <w:shd w:val="clear" w:color="auto" w:fill="94DCEF"/>
            <w:vAlign w:val="center"/>
          </w:tcPr>
          <w:p w14:paraId="108DE505" w14:textId="77777777" w:rsidR="00E77B5A" w:rsidRPr="00E77B5A" w:rsidRDefault="00E77B5A" w:rsidP="00E77B5A">
            <w:pPr>
              <w:pStyle w:val="BodyText"/>
              <w:rPr>
                <w:b/>
                <w:bCs/>
              </w:rPr>
            </w:pPr>
            <w:r w:rsidRPr="00E77B5A">
              <w:rPr>
                <w:b/>
                <w:bCs/>
              </w:rPr>
              <w:t>Business Process</w:t>
            </w:r>
          </w:p>
        </w:tc>
        <w:tc>
          <w:tcPr>
            <w:tcW w:w="11677" w:type="dxa"/>
            <w:gridSpan w:val="5"/>
            <w:shd w:val="clear" w:color="auto" w:fill="auto"/>
            <w:vAlign w:val="center"/>
          </w:tcPr>
          <w:p w14:paraId="6E75EC21" w14:textId="77777777" w:rsidR="00E77B5A" w:rsidRPr="007C2700" w:rsidRDefault="00E77B5A" w:rsidP="00E77B5A">
            <w:pPr>
              <w:pStyle w:val="BodyText"/>
              <w:rPr>
                <w:b/>
                <w:u w:val="single"/>
              </w:rPr>
            </w:pPr>
            <w:r w:rsidRPr="007C2700">
              <w:rPr>
                <w:b/>
                <w:u w:val="single"/>
              </w:rPr>
              <w:t>Establishments can provide a self-referral indicator flag to indicate if a patient has ‘self-referred’ to a non-specialist non-admitted service. The flag should only be used if referral details are not available and a current business process to record referrals does not exist.</w:t>
            </w:r>
          </w:p>
          <w:p w14:paraId="44065F61" w14:textId="358140F0" w:rsidR="00164159" w:rsidRPr="00E77B5A" w:rsidRDefault="00164159" w:rsidP="00164159">
            <w:pPr>
              <w:pStyle w:val="BodyText"/>
              <w:rPr>
                <w:bCs/>
              </w:rPr>
            </w:pPr>
            <w:r w:rsidRPr="00E77B5A">
              <w:rPr>
                <w:bCs/>
              </w:rPr>
              <w:t>Statistical Services Branch will populate the service request received date with the date contained in the service event date when the below criteria is met:</w:t>
            </w:r>
          </w:p>
          <w:p w14:paraId="4385E9D3" w14:textId="77777777" w:rsidR="00164159" w:rsidRPr="00E77B5A" w:rsidRDefault="00164159" w:rsidP="00164159">
            <w:pPr>
              <w:pStyle w:val="ListBullet"/>
            </w:pPr>
            <w:r w:rsidRPr="00E77B5A">
              <w:t xml:space="preserve">Self-referral indicator = ‘1’ – Yes </w:t>
            </w:r>
          </w:p>
          <w:p w14:paraId="0368187A" w14:textId="77777777" w:rsidR="00164159" w:rsidRPr="00E77B5A" w:rsidRDefault="00164159" w:rsidP="00164159">
            <w:pPr>
              <w:pStyle w:val="ListBullet"/>
            </w:pPr>
            <w:r w:rsidRPr="00E77B5A">
              <w:t>Service request source is null</w:t>
            </w:r>
          </w:p>
          <w:p w14:paraId="4B7FA51C" w14:textId="77777777" w:rsidR="00164159" w:rsidRPr="00E77B5A" w:rsidRDefault="00164159" w:rsidP="00164159">
            <w:pPr>
              <w:pStyle w:val="ListBullet"/>
            </w:pPr>
            <w:r w:rsidRPr="00E77B5A">
              <w:t>Service request received date is null</w:t>
            </w:r>
          </w:p>
          <w:p w14:paraId="7AEE0420" w14:textId="77777777" w:rsidR="00164159" w:rsidRPr="00E77B5A" w:rsidRDefault="00164159" w:rsidP="00164159">
            <w:pPr>
              <w:pStyle w:val="ListBullet"/>
            </w:pPr>
            <w:r w:rsidRPr="00E77B5A">
              <w:t xml:space="preserve">Service delivery mode is not ‘12’ – Telehealth – recipient (see </w:t>
            </w:r>
            <w:hyperlink w:anchor="_Rule_11a_–" w:history="1">
              <w:r w:rsidRPr="00E77B5A">
                <w:rPr>
                  <w:rStyle w:val="Hyperlink"/>
                  <w:bCs/>
                </w:rPr>
                <w:t>Rule 11a</w:t>
              </w:r>
            </w:hyperlink>
            <w:r w:rsidRPr="00E77B5A">
              <w:t>))</w:t>
            </w:r>
          </w:p>
          <w:p w14:paraId="2E97B215" w14:textId="1821417A" w:rsidR="00164159" w:rsidRPr="00E77B5A" w:rsidRDefault="00164159" w:rsidP="00164159">
            <w:pPr>
              <w:pStyle w:val="BodyText"/>
              <w:rPr>
                <w:bCs/>
                <w:u w:val="single"/>
              </w:rPr>
            </w:pPr>
            <w:r w:rsidRPr="00E77B5A">
              <w:t xml:space="preserve">CCC is a non-specialist clinic (refer to </w:t>
            </w:r>
            <w:hyperlink r:id="rId33" w:history="1">
              <w:r w:rsidRPr="00E77B5A">
                <w:rPr>
                  <w:rStyle w:val="Hyperlink"/>
                  <w:bCs/>
                </w:rPr>
                <w:t>Rule 10 Self-Referral CCCs list</w:t>
              </w:r>
            </w:hyperlink>
            <w:r w:rsidRPr="00E77B5A">
              <w:t>)</w:t>
            </w:r>
          </w:p>
        </w:tc>
      </w:tr>
      <w:tr w:rsidR="00E77B5A" w:rsidRPr="00E77B5A" w14:paraId="63E08A64" w14:textId="77777777" w:rsidTr="007C2700">
        <w:trPr>
          <w:trHeight w:val="315"/>
        </w:trPr>
        <w:tc>
          <w:tcPr>
            <w:tcW w:w="2069" w:type="dxa"/>
            <w:shd w:val="clear" w:color="auto" w:fill="94DCEF"/>
            <w:vAlign w:val="center"/>
            <w:hideMark/>
          </w:tcPr>
          <w:p w14:paraId="2CC106A5" w14:textId="77777777" w:rsidR="00E77B5A" w:rsidRPr="00E77B5A" w:rsidRDefault="00E77B5A" w:rsidP="00E77B5A">
            <w:pPr>
              <w:pStyle w:val="BodyText"/>
              <w:rPr>
                <w:b/>
                <w:bCs/>
              </w:rPr>
            </w:pPr>
            <w:r w:rsidRPr="00E77B5A">
              <w:rPr>
                <w:b/>
                <w:bCs/>
              </w:rPr>
              <w:t>File Format Item #</w:t>
            </w:r>
          </w:p>
        </w:tc>
        <w:tc>
          <w:tcPr>
            <w:tcW w:w="728" w:type="dxa"/>
            <w:shd w:val="clear" w:color="auto" w:fill="B8E5FC"/>
            <w:vAlign w:val="center"/>
            <w:hideMark/>
          </w:tcPr>
          <w:p w14:paraId="0428AE61" w14:textId="77777777" w:rsidR="00E77B5A" w:rsidRPr="00E77B5A" w:rsidRDefault="00E77B5A" w:rsidP="00E77B5A">
            <w:pPr>
              <w:pStyle w:val="BodyText"/>
              <w:rPr>
                <w:bCs/>
              </w:rPr>
            </w:pPr>
            <w:r w:rsidRPr="00E77B5A">
              <w:rPr>
                <w:bCs/>
              </w:rPr>
              <w:t>44</w:t>
            </w:r>
          </w:p>
        </w:tc>
        <w:tc>
          <w:tcPr>
            <w:tcW w:w="2469" w:type="dxa"/>
            <w:shd w:val="clear" w:color="auto" w:fill="94DCEF"/>
            <w:vAlign w:val="center"/>
            <w:hideMark/>
          </w:tcPr>
          <w:p w14:paraId="27B668D3" w14:textId="77777777" w:rsidR="00E77B5A" w:rsidRPr="00E77B5A" w:rsidRDefault="00E77B5A" w:rsidP="00E77B5A">
            <w:pPr>
              <w:pStyle w:val="BodyText"/>
              <w:rPr>
                <w:b/>
                <w:bCs/>
              </w:rPr>
            </w:pPr>
            <w:r w:rsidRPr="00E77B5A">
              <w:rPr>
                <w:b/>
                <w:bCs/>
              </w:rPr>
              <w:t>File Format Data Item</w:t>
            </w:r>
          </w:p>
        </w:tc>
        <w:tc>
          <w:tcPr>
            <w:tcW w:w="2835" w:type="dxa"/>
            <w:shd w:val="clear" w:color="auto" w:fill="B8E5FC"/>
            <w:vAlign w:val="center"/>
            <w:hideMark/>
          </w:tcPr>
          <w:p w14:paraId="1BE0393A" w14:textId="77777777" w:rsidR="00E77B5A" w:rsidRPr="00E77B5A" w:rsidRDefault="00EC2651" w:rsidP="00E77B5A">
            <w:pPr>
              <w:pStyle w:val="BodyText"/>
              <w:rPr>
                <w:bCs/>
              </w:rPr>
            </w:pPr>
            <w:hyperlink r:id="rId34" w:history="1">
              <w:r w:rsidR="00E77B5A" w:rsidRPr="00E77B5A">
                <w:rPr>
                  <w:rStyle w:val="Hyperlink"/>
                  <w:bCs/>
                </w:rPr>
                <w:t>Self-referral indicator</w:t>
              </w:r>
            </w:hyperlink>
          </w:p>
        </w:tc>
        <w:tc>
          <w:tcPr>
            <w:tcW w:w="3366" w:type="dxa"/>
            <w:shd w:val="clear" w:color="auto" w:fill="94DCEF"/>
            <w:vAlign w:val="center"/>
          </w:tcPr>
          <w:p w14:paraId="04001FFE" w14:textId="77777777" w:rsidR="00E77B5A" w:rsidRPr="00E77B5A" w:rsidRDefault="00E77B5A" w:rsidP="00E77B5A">
            <w:pPr>
              <w:pStyle w:val="BodyText"/>
              <w:rPr>
                <w:bCs/>
                <w:u w:val="single"/>
              </w:rPr>
            </w:pPr>
            <w:r w:rsidRPr="00E77B5A">
              <w:rPr>
                <w:b/>
                <w:bCs/>
              </w:rPr>
              <w:t>Relevant Values in Data Domain</w:t>
            </w:r>
          </w:p>
        </w:tc>
        <w:tc>
          <w:tcPr>
            <w:tcW w:w="2279" w:type="dxa"/>
            <w:shd w:val="clear" w:color="auto" w:fill="auto"/>
            <w:vAlign w:val="center"/>
          </w:tcPr>
          <w:p w14:paraId="13D8166A" w14:textId="77777777" w:rsidR="00E77B5A" w:rsidRPr="00E77B5A" w:rsidRDefault="00E77B5A" w:rsidP="00E77B5A">
            <w:pPr>
              <w:pStyle w:val="BodyText"/>
              <w:rPr>
                <w:bCs/>
              </w:rPr>
            </w:pPr>
            <w:r w:rsidRPr="00E77B5A">
              <w:rPr>
                <w:bCs/>
              </w:rPr>
              <w:t>N/A</w:t>
            </w:r>
          </w:p>
        </w:tc>
      </w:tr>
    </w:tbl>
    <w:p w14:paraId="0DC9AFE5" w14:textId="77777777" w:rsidR="00E77B5A" w:rsidRPr="00E77B5A" w:rsidRDefault="00E77B5A" w:rsidP="00E77B5A">
      <w:pPr>
        <w:pStyle w:val="BodyText"/>
      </w:pPr>
    </w:p>
    <w:p w14:paraId="0D6DAD2D" w14:textId="77777777" w:rsidR="00E77B5A" w:rsidRPr="00E77B5A" w:rsidRDefault="00E77B5A" w:rsidP="004B7A67">
      <w:pPr>
        <w:pStyle w:val="Heading1"/>
      </w:pPr>
      <w:bookmarkStart w:id="46" w:name="_Rule_10b_–"/>
      <w:bookmarkEnd w:id="46"/>
      <w:r w:rsidRPr="00E77B5A">
        <w:br w:type="page"/>
      </w:r>
      <w:bookmarkStart w:id="47" w:name="_Toc128055680"/>
      <w:bookmarkStart w:id="48" w:name="_Toc137546430"/>
      <w:bookmarkStart w:id="49" w:name="_Toc168662796"/>
      <w:r w:rsidRPr="00E77B5A">
        <w:lastRenderedPageBreak/>
        <w:t>Rule 10b – Derive service request (referral) source</w:t>
      </w:r>
      <w:bookmarkEnd w:id="47"/>
      <w:bookmarkEnd w:id="48"/>
      <w:bookmarkEnd w:id="4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7"/>
        <w:gridCol w:w="743"/>
        <w:gridCol w:w="2466"/>
        <w:gridCol w:w="2832"/>
        <w:gridCol w:w="3359"/>
        <w:gridCol w:w="2279"/>
      </w:tblGrid>
      <w:tr w:rsidR="00E77B5A" w:rsidRPr="00E77B5A" w14:paraId="7311F49C" w14:textId="77777777" w:rsidTr="00164159">
        <w:trPr>
          <w:trHeight w:val="540"/>
        </w:trPr>
        <w:tc>
          <w:tcPr>
            <w:tcW w:w="2067" w:type="dxa"/>
            <w:shd w:val="clear" w:color="auto" w:fill="001D47"/>
            <w:vAlign w:val="center"/>
            <w:hideMark/>
          </w:tcPr>
          <w:p w14:paraId="439947AD" w14:textId="77777777" w:rsidR="00E77B5A" w:rsidRPr="00E77B5A" w:rsidRDefault="00E77B5A" w:rsidP="00E77B5A">
            <w:pPr>
              <w:pStyle w:val="BodyText"/>
              <w:rPr>
                <w:b/>
                <w:bCs/>
              </w:rPr>
            </w:pPr>
            <w:r w:rsidRPr="006E5AB7">
              <w:rPr>
                <w:b/>
                <w:bCs/>
                <w:color w:val="FFFFFF" w:themeColor="background1"/>
                <w:sz w:val="32"/>
                <w:szCs w:val="32"/>
              </w:rPr>
              <w:t>Rule No.</w:t>
            </w:r>
          </w:p>
        </w:tc>
        <w:tc>
          <w:tcPr>
            <w:tcW w:w="743" w:type="dxa"/>
            <w:shd w:val="clear" w:color="auto" w:fill="B8E5FC"/>
            <w:vAlign w:val="center"/>
            <w:hideMark/>
          </w:tcPr>
          <w:p w14:paraId="6A5F97C1" w14:textId="77777777" w:rsidR="00E77B5A" w:rsidRPr="00E77B5A" w:rsidRDefault="00E77B5A" w:rsidP="00E77B5A">
            <w:pPr>
              <w:pStyle w:val="BodyText"/>
              <w:rPr>
                <w:b/>
                <w:bCs/>
              </w:rPr>
            </w:pPr>
            <w:r w:rsidRPr="006E5AB7">
              <w:rPr>
                <w:b/>
                <w:bCs/>
                <w:sz w:val="32"/>
                <w:szCs w:val="32"/>
              </w:rPr>
              <w:t>10b</w:t>
            </w:r>
          </w:p>
        </w:tc>
        <w:tc>
          <w:tcPr>
            <w:tcW w:w="2466" w:type="dxa"/>
            <w:shd w:val="clear" w:color="auto" w:fill="001D47"/>
            <w:vAlign w:val="center"/>
            <w:hideMark/>
          </w:tcPr>
          <w:p w14:paraId="704DB422" w14:textId="34D0AA4F" w:rsidR="00E77B5A" w:rsidRPr="00E77B5A" w:rsidRDefault="00AF3027" w:rsidP="00E77B5A">
            <w:pPr>
              <w:pStyle w:val="BodyText"/>
              <w:rPr>
                <w:b/>
                <w:bCs/>
              </w:rPr>
            </w:pPr>
            <w:r>
              <w:rPr>
                <w:b/>
                <w:bCs/>
                <w:color w:val="FFFFFF" w:themeColor="background1"/>
                <w:sz w:val="32"/>
                <w:szCs w:val="32"/>
              </w:rPr>
              <w:t>Business Rule</w:t>
            </w:r>
          </w:p>
        </w:tc>
        <w:tc>
          <w:tcPr>
            <w:tcW w:w="8470" w:type="dxa"/>
            <w:gridSpan w:val="3"/>
            <w:shd w:val="clear" w:color="auto" w:fill="B8E5FC"/>
            <w:vAlign w:val="center"/>
            <w:hideMark/>
          </w:tcPr>
          <w:p w14:paraId="70046134" w14:textId="44226307" w:rsidR="00E77B5A" w:rsidRPr="00E77B5A" w:rsidRDefault="00AF3027" w:rsidP="00E77B5A">
            <w:pPr>
              <w:pStyle w:val="BodyText"/>
              <w:rPr>
                <w:b/>
                <w:bCs/>
              </w:rPr>
            </w:pPr>
            <w:r w:rsidRPr="00E77B5A">
              <w:rPr>
                <w:bCs/>
              </w:rPr>
              <w:t>Derive service request (referral) source using the Self-Referral indicator</w:t>
            </w:r>
          </w:p>
        </w:tc>
      </w:tr>
      <w:tr w:rsidR="00E77B5A" w:rsidRPr="00E77B5A" w14:paraId="334E80D1" w14:textId="77777777" w:rsidTr="00164159">
        <w:trPr>
          <w:trHeight w:val="315"/>
        </w:trPr>
        <w:tc>
          <w:tcPr>
            <w:tcW w:w="2067" w:type="dxa"/>
            <w:shd w:val="clear" w:color="auto" w:fill="94DCEF"/>
            <w:vAlign w:val="center"/>
          </w:tcPr>
          <w:p w14:paraId="58869072" w14:textId="77777777" w:rsidR="00E77B5A" w:rsidRPr="00E77B5A" w:rsidRDefault="00E77B5A" w:rsidP="00E77B5A">
            <w:pPr>
              <w:pStyle w:val="BodyText"/>
              <w:rPr>
                <w:b/>
                <w:bCs/>
              </w:rPr>
            </w:pPr>
            <w:r w:rsidRPr="00E77B5A">
              <w:rPr>
                <w:b/>
                <w:bCs/>
              </w:rPr>
              <w:t>Business Process</w:t>
            </w:r>
          </w:p>
        </w:tc>
        <w:tc>
          <w:tcPr>
            <w:tcW w:w="11679" w:type="dxa"/>
            <w:gridSpan w:val="5"/>
            <w:shd w:val="clear" w:color="auto" w:fill="auto"/>
            <w:vAlign w:val="center"/>
          </w:tcPr>
          <w:p w14:paraId="215BEB65" w14:textId="77777777" w:rsidR="00E77B5A" w:rsidRPr="007C2700" w:rsidRDefault="00E77B5A" w:rsidP="00E77B5A">
            <w:pPr>
              <w:pStyle w:val="BodyText"/>
              <w:rPr>
                <w:b/>
                <w:u w:val="single"/>
              </w:rPr>
            </w:pPr>
            <w:r w:rsidRPr="007C2700">
              <w:rPr>
                <w:b/>
                <w:u w:val="single"/>
              </w:rPr>
              <w:t>Establishments can provide a self-referral indicator flag to indicate if a patient has ‘self-referred’ to a non-specialist non-admitted service. The flag should only be used if referral details are not available and a current business process to record referrals does not exist.</w:t>
            </w:r>
          </w:p>
          <w:p w14:paraId="3D553BFF" w14:textId="7E2ABDC6" w:rsidR="00164159" w:rsidRPr="00E77B5A" w:rsidRDefault="00164159" w:rsidP="00164159">
            <w:pPr>
              <w:pStyle w:val="BodyText"/>
              <w:rPr>
                <w:bCs/>
              </w:rPr>
            </w:pPr>
            <w:r w:rsidRPr="00E77B5A">
              <w:rPr>
                <w:bCs/>
              </w:rPr>
              <w:t>Statistical Services Branch will populate the service request source with code ‘70’ – Health care client – Self when the below criteria is met:</w:t>
            </w:r>
          </w:p>
          <w:p w14:paraId="09EB6DCC" w14:textId="77777777" w:rsidR="00164159" w:rsidRPr="00E77B5A" w:rsidRDefault="00164159" w:rsidP="00164159">
            <w:pPr>
              <w:pStyle w:val="ListBullet"/>
            </w:pPr>
            <w:r w:rsidRPr="00E77B5A">
              <w:t>Self-referral indicator = ‘1’ – Yes</w:t>
            </w:r>
          </w:p>
          <w:p w14:paraId="27DFDB84" w14:textId="77777777" w:rsidR="00164159" w:rsidRPr="00E77B5A" w:rsidRDefault="00164159" w:rsidP="00164159">
            <w:pPr>
              <w:pStyle w:val="ListBullet"/>
            </w:pPr>
            <w:r w:rsidRPr="00E77B5A">
              <w:t>Service request source is null</w:t>
            </w:r>
          </w:p>
          <w:p w14:paraId="51F51777" w14:textId="77777777" w:rsidR="00164159" w:rsidRPr="00E77B5A" w:rsidRDefault="00164159" w:rsidP="00164159">
            <w:pPr>
              <w:pStyle w:val="ListBullet"/>
            </w:pPr>
            <w:r w:rsidRPr="00E77B5A">
              <w:t>Service request received date is null</w:t>
            </w:r>
          </w:p>
          <w:p w14:paraId="2976DBB0" w14:textId="77777777" w:rsidR="00AF3027" w:rsidRPr="007C2700" w:rsidRDefault="00164159" w:rsidP="00AF3027">
            <w:pPr>
              <w:pStyle w:val="ListBullet"/>
              <w:rPr>
                <w:bCs/>
                <w:u w:val="single"/>
              </w:rPr>
            </w:pPr>
            <w:r w:rsidRPr="00E77B5A">
              <w:t xml:space="preserve">Service delivery mode is not ‘12’ – Telehealth – recipient (see </w:t>
            </w:r>
            <w:hyperlink w:anchor="_Rule_11a_–" w:history="1">
              <w:r w:rsidRPr="00E77B5A">
                <w:rPr>
                  <w:rStyle w:val="Hyperlink"/>
                  <w:bCs/>
                </w:rPr>
                <w:t>Rule 11a</w:t>
              </w:r>
            </w:hyperlink>
            <w:r w:rsidRPr="00E77B5A">
              <w:t>))</w:t>
            </w:r>
          </w:p>
          <w:p w14:paraId="3D60529F" w14:textId="3BD9B162" w:rsidR="00164159" w:rsidRPr="00E77B5A" w:rsidRDefault="00164159" w:rsidP="007C2700">
            <w:pPr>
              <w:pStyle w:val="ListBullet"/>
              <w:rPr>
                <w:bCs/>
                <w:u w:val="single"/>
              </w:rPr>
            </w:pPr>
            <w:r w:rsidRPr="00E77B5A">
              <w:t xml:space="preserve">CCC is a non-specialist clinic (refer to </w:t>
            </w:r>
            <w:hyperlink r:id="rId35" w:history="1">
              <w:r w:rsidRPr="00E77B5A">
                <w:rPr>
                  <w:rStyle w:val="Hyperlink"/>
                  <w:bCs/>
                </w:rPr>
                <w:t>Rule 10 Self-Referral CCCs list</w:t>
              </w:r>
            </w:hyperlink>
            <w:r w:rsidRPr="00E77B5A">
              <w:t>)</w:t>
            </w:r>
          </w:p>
        </w:tc>
      </w:tr>
      <w:tr w:rsidR="00E77B5A" w:rsidRPr="00E77B5A" w14:paraId="4DD37873" w14:textId="77777777" w:rsidTr="007C2700">
        <w:trPr>
          <w:trHeight w:val="315"/>
        </w:trPr>
        <w:tc>
          <w:tcPr>
            <w:tcW w:w="2067" w:type="dxa"/>
            <w:shd w:val="clear" w:color="auto" w:fill="94DCEF"/>
            <w:vAlign w:val="center"/>
            <w:hideMark/>
          </w:tcPr>
          <w:p w14:paraId="65B0B0B5" w14:textId="77777777" w:rsidR="00E77B5A" w:rsidRPr="00E77B5A" w:rsidRDefault="00E77B5A" w:rsidP="00E77B5A">
            <w:pPr>
              <w:pStyle w:val="BodyText"/>
              <w:rPr>
                <w:b/>
                <w:bCs/>
              </w:rPr>
            </w:pPr>
            <w:r w:rsidRPr="00E77B5A">
              <w:rPr>
                <w:b/>
                <w:bCs/>
              </w:rPr>
              <w:t>File Format Item #</w:t>
            </w:r>
          </w:p>
        </w:tc>
        <w:tc>
          <w:tcPr>
            <w:tcW w:w="743" w:type="dxa"/>
            <w:shd w:val="clear" w:color="auto" w:fill="B8E5FC"/>
            <w:vAlign w:val="center"/>
            <w:hideMark/>
          </w:tcPr>
          <w:p w14:paraId="46780757" w14:textId="77777777" w:rsidR="00E77B5A" w:rsidRPr="00E77B5A" w:rsidRDefault="00E77B5A" w:rsidP="00E77B5A">
            <w:pPr>
              <w:pStyle w:val="BodyText"/>
              <w:rPr>
                <w:bCs/>
              </w:rPr>
            </w:pPr>
            <w:r w:rsidRPr="00E77B5A">
              <w:rPr>
                <w:bCs/>
              </w:rPr>
              <w:t>44</w:t>
            </w:r>
          </w:p>
        </w:tc>
        <w:tc>
          <w:tcPr>
            <w:tcW w:w="2466" w:type="dxa"/>
            <w:shd w:val="clear" w:color="auto" w:fill="94DCEF"/>
            <w:vAlign w:val="center"/>
            <w:hideMark/>
          </w:tcPr>
          <w:p w14:paraId="05BE6A8D" w14:textId="77777777" w:rsidR="00E77B5A" w:rsidRPr="00E77B5A" w:rsidRDefault="00E77B5A" w:rsidP="00E77B5A">
            <w:pPr>
              <w:pStyle w:val="BodyText"/>
              <w:rPr>
                <w:b/>
                <w:bCs/>
              </w:rPr>
            </w:pPr>
            <w:r w:rsidRPr="00E77B5A">
              <w:rPr>
                <w:b/>
                <w:bCs/>
              </w:rPr>
              <w:t>File Format Data Item</w:t>
            </w:r>
          </w:p>
        </w:tc>
        <w:tc>
          <w:tcPr>
            <w:tcW w:w="2832" w:type="dxa"/>
            <w:shd w:val="clear" w:color="auto" w:fill="B8E5FC"/>
            <w:vAlign w:val="center"/>
            <w:hideMark/>
          </w:tcPr>
          <w:p w14:paraId="750A63CF" w14:textId="77777777" w:rsidR="00E77B5A" w:rsidRPr="00E77B5A" w:rsidRDefault="00EC2651" w:rsidP="00E77B5A">
            <w:pPr>
              <w:pStyle w:val="BodyText"/>
              <w:rPr>
                <w:bCs/>
              </w:rPr>
            </w:pPr>
            <w:hyperlink r:id="rId36" w:history="1">
              <w:r w:rsidR="00E77B5A" w:rsidRPr="00E77B5A">
                <w:rPr>
                  <w:rStyle w:val="Hyperlink"/>
                  <w:bCs/>
                </w:rPr>
                <w:t>Self-referral indicator</w:t>
              </w:r>
            </w:hyperlink>
          </w:p>
        </w:tc>
        <w:tc>
          <w:tcPr>
            <w:tcW w:w="3359" w:type="dxa"/>
            <w:shd w:val="clear" w:color="auto" w:fill="94DCEF"/>
            <w:vAlign w:val="center"/>
          </w:tcPr>
          <w:p w14:paraId="2AA3EC12" w14:textId="77777777" w:rsidR="00E77B5A" w:rsidRPr="00E77B5A" w:rsidRDefault="00E77B5A" w:rsidP="00E77B5A">
            <w:pPr>
              <w:pStyle w:val="BodyText"/>
              <w:rPr>
                <w:bCs/>
                <w:u w:val="single"/>
              </w:rPr>
            </w:pPr>
            <w:r w:rsidRPr="00E77B5A">
              <w:rPr>
                <w:b/>
                <w:bCs/>
              </w:rPr>
              <w:t>Relevant Values in Data Domain</w:t>
            </w:r>
          </w:p>
        </w:tc>
        <w:tc>
          <w:tcPr>
            <w:tcW w:w="2279" w:type="dxa"/>
            <w:shd w:val="clear" w:color="auto" w:fill="auto"/>
            <w:vAlign w:val="center"/>
          </w:tcPr>
          <w:p w14:paraId="6DA4295B" w14:textId="77777777" w:rsidR="00E77B5A" w:rsidRPr="00E77B5A" w:rsidRDefault="00E77B5A" w:rsidP="00E77B5A">
            <w:pPr>
              <w:pStyle w:val="BodyText"/>
              <w:rPr>
                <w:bCs/>
              </w:rPr>
            </w:pPr>
            <w:r w:rsidRPr="00E77B5A">
              <w:rPr>
                <w:bCs/>
              </w:rPr>
              <w:t>N/A</w:t>
            </w:r>
          </w:p>
        </w:tc>
      </w:tr>
    </w:tbl>
    <w:p w14:paraId="6746A6EE" w14:textId="77777777" w:rsidR="00E77B5A" w:rsidRPr="00E77B5A" w:rsidRDefault="00E77B5A" w:rsidP="00FE5EC8">
      <w:pPr>
        <w:pStyle w:val="Heading1"/>
      </w:pPr>
      <w:bookmarkStart w:id="50" w:name="_Rule_11a_–"/>
      <w:bookmarkEnd w:id="50"/>
      <w:r w:rsidRPr="00E77B5A">
        <w:br w:type="page"/>
      </w:r>
      <w:bookmarkStart w:id="51" w:name="_Toc128055681"/>
      <w:bookmarkStart w:id="52" w:name="_Toc137546431"/>
      <w:bookmarkStart w:id="53" w:name="_Toc168662797"/>
      <w:r w:rsidRPr="00E77B5A">
        <w:lastRenderedPageBreak/>
        <w:t>Rule 11a – Derive service request (referral) received date – telehealth recipient</w:t>
      </w:r>
      <w:bookmarkEnd w:id="51"/>
      <w:bookmarkEnd w:id="52"/>
      <w:bookmarkEnd w:id="53"/>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0"/>
        <w:gridCol w:w="707"/>
        <w:gridCol w:w="2473"/>
        <w:gridCol w:w="2840"/>
        <w:gridCol w:w="3235"/>
        <w:gridCol w:w="2421"/>
      </w:tblGrid>
      <w:tr w:rsidR="00E77B5A" w:rsidRPr="00E77B5A" w14:paraId="13A08663" w14:textId="77777777" w:rsidTr="00164159">
        <w:trPr>
          <w:trHeight w:val="540"/>
        </w:trPr>
        <w:tc>
          <w:tcPr>
            <w:tcW w:w="2070" w:type="dxa"/>
            <w:shd w:val="clear" w:color="auto" w:fill="001D47"/>
            <w:vAlign w:val="center"/>
            <w:hideMark/>
          </w:tcPr>
          <w:p w14:paraId="1C7EF226" w14:textId="77777777" w:rsidR="00E77B5A" w:rsidRPr="00E77B5A" w:rsidRDefault="00E77B5A" w:rsidP="00E77B5A">
            <w:pPr>
              <w:pStyle w:val="BodyText"/>
              <w:rPr>
                <w:b/>
                <w:bCs/>
              </w:rPr>
            </w:pPr>
            <w:r w:rsidRPr="006E5AB7">
              <w:rPr>
                <w:b/>
                <w:bCs/>
                <w:color w:val="FFFFFF" w:themeColor="background1"/>
                <w:sz w:val="32"/>
                <w:szCs w:val="32"/>
              </w:rPr>
              <w:t>Rule No.</w:t>
            </w:r>
          </w:p>
        </w:tc>
        <w:tc>
          <w:tcPr>
            <w:tcW w:w="707" w:type="dxa"/>
            <w:shd w:val="clear" w:color="auto" w:fill="B8E5FC"/>
            <w:vAlign w:val="center"/>
            <w:hideMark/>
          </w:tcPr>
          <w:p w14:paraId="4D1C4EAE" w14:textId="77777777" w:rsidR="00E77B5A" w:rsidRPr="00E77B5A" w:rsidRDefault="00E77B5A" w:rsidP="00E77B5A">
            <w:pPr>
              <w:pStyle w:val="BodyText"/>
              <w:rPr>
                <w:b/>
                <w:bCs/>
              </w:rPr>
            </w:pPr>
            <w:r w:rsidRPr="006E5AB7">
              <w:rPr>
                <w:b/>
                <w:bCs/>
                <w:sz w:val="32"/>
                <w:szCs w:val="32"/>
              </w:rPr>
              <w:t>11a</w:t>
            </w:r>
          </w:p>
        </w:tc>
        <w:tc>
          <w:tcPr>
            <w:tcW w:w="2473" w:type="dxa"/>
            <w:shd w:val="clear" w:color="auto" w:fill="001D47"/>
            <w:vAlign w:val="center"/>
            <w:hideMark/>
          </w:tcPr>
          <w:p w14:paraId="52034FDD" w14:textId="4CB10462" w:rsidR="00E77B5A" w:rsidRPr="00E77B5A" w:rsidRDefault="00AF3027" w:rsidP="00E77B5A">
            <w:pPr>
              <w:pStyle w:val="BodyText"/>
              <w:rPr>
                <w:b/>
                <w:bCs/>
              </w:rPr>
            </w:pPr>
            <w:r>
              <w:rPr>
                <w:b/>
                <w:bCs/>
                <w:color w:val="FFFFFF" w:themeColor="background1"/>
                <w:sz w:val="32"/>
                <w:szCs w:val="32"/>
              </w:rPr>
              <w:t>Business Rule</w:t>
            </w:r>
          </w:p>
        </w:tc>
        <w:tc>
          <w:tcPr>
            <w:tcW w:w="8496" w:type="dxa"/>
            <w:gridSpan w:val="3"/>
            <w:shd w:val="clear" w:color="auto" w:fill="B8E5FC"/>
            <w:vAlign w:val="center"/>
            <w:hideMark/>
          </w:tcPr>
          <w:p w14:paraId="641BA547" w14:textId="6BCF5BF5" w:rsidR="00E77B5A" w:rsidRPr="00E77B5A" w:rsidRDefault="00AF3027" w:rsidP="00E77B5A">
            <w:pPr>
              <w:pStyle w:val="BodyText"/>
              <w:rPr>
                <w:b/>
                <w:bCs/>
              </w:rPr>
            </w:pPr>
            <w:r w:rsidRPr="00E77B5A">
              <w:rPr>
                <w:bCs/>
              </w:rPr>
              <w:t>Derive service request (referral) received date using the Self-Referral indicator where service delivery mode is telehealth - recipient.</w:t>
            </w:r>
          </w:p>
        </w:tc>
      </w:tr>
      <w:tr w:rsidR="00E77B5A" w:rsidRPr="00E77B5A" w14:paraId="5986B0CA" w14:textId="77777777" w:rsidTr="00164159">
        <w:trPr>
          <w:trHeight w:val="315"/>
        </w:trPr>
        <w:tc>
          <w:tcPr>
            <w:tcW w:w="2070" w:type="dxa"/>
            <w:shd w:val="clear" w:color="auto" w:fill="94DCEF"/>
            <w:vAlign w:val="center"/>
          </w:tcPr>
          <w:p w14:paraId="3D3C7F01" w14:textId="77777777" w:rsidR="00E77B5A" w:rsidRPr="00E77B5A" w:rsidRDefault="00E77B5A" w:rsidP="00E77B5A">
            <w:pPr>
              <w:pStyle w:val="BodyText"/>
              <w:rPr>
                <w:b/>
                <w:bCs/>
              </w:rPr>
            </w:pPr>
            <w:r w:rsidRPr="00E77B5A">
              <w:rPr>
                <w:b/>
                <w:bCs/>
              </w:rPr>
              <w:t>Business Process</w:t>
            </w:r>
          </w:p>
        </w:tc>
        <w:tc>
          <w:tcPr>
            <w:tcW w:w="11676" w:type="dxa"/>
            <w:gridSpan w:val="5"/>
            <w:shd w:val="clear" w:color="auto" w:fill="auto"/>
            <w:vAlign w:val="center"/>
          </w:tcPr>
          <w:p w14:paraId="1C44D33D" w14:textId="40D5030C" w:rsidR="00E77B5A" w:rsidRPr="007C2700" w:rsidRDefault="00E77B5A" w:rsidP="00E77B5A">
            <w:pPr>
              <w:pStyle w:val="BodyText"/>
              <w:rPr>
                <w:b/>
                <w:u w:val="single"/>
              </w:rPr>
            </w:pPr>
            <w:r w:rsidRPr="007C2700">
              <w:rPr>
                <w:b/>
                <w:u w:val="single"/>
              </w:rPr>
              <w:t>Establishments can provide the self-referral indicator flag for service events with a service delivery mode of ‘12’ – Telehealth - recipient</w:t>
            </w:r>
            <w:r w:rsidR="003753F8" w:rsidRPr="007C2700">
              <w:rPr>
                <w:b/>
                <w:u w:val="single"/>
              </w:rPr>
              <w:t xml:space="preserve">. </w:t>
            </w:r>
            <w:r w:rsidRPr="007C2700">
              <w:rPr>
                <w:b/>
                <w:u w:val="single"/>
              </w:rPr>
              <w:t>The flag should only be used if referral details are not available and a current business process to record referrals does not exist</w:t>
            </w:r>
            <w:r w:rsidR="003753F8" w:rsidRPr="007C2700">
              <w:rPr>
                <w:b/>
                <w:u w:val="single"/>
              </w:rPr>
              <w:t xml:space="preserve">. </w:t>
            </w:r>
            <w:r w:rsidRPr="007C2700">
              <w:rPr>
                <w:b/>
                <w:u w:val="single"/>
              </w:rPr>
              <w:t>Service request source of ‘70’ – Health care client – Self can be applied as a valid referral source for service events where it is deemed by a HHS or facility that a patient can ‘self refer’ to that clinical service.</w:t>
            </w:r>
          </w:p>
          <w:p w14:paraId="7C94FADD" w14:textId="77777777" w:rsidR="00164159" w:rsidRPr="00E77B5A" w:rsidRDefault="00164159" w:rsidP="00164159">
            <w:pPr>
              <w:pStyle w:val="BodyText"/>
              <w:rPr>
                <w:bCs/>
              </w:rPr>
            </w:pPr>
            <w:r w:rsidRPr="00E77B5A">
              <w:rPr>
                <w:bCs/>
              </w:rPr>
              <w:t>Statistical Services Branch will populate the service request received date with the date contained in the service event date when the below criteria is met:</w:t>
            </w:r>
          </w:p>
          <w:p w14:paraId="7A68E445" w14:textId="77777777" w:rsidR="00164159" w:rsidRPr="00E77B5A" w:rsidRDefault="00164159" w:rsidP="00164159">
            <w:pPr>
              <w:pStyle w:val="ListBullet"/>
            </w:pPr>
            <w:r w:rsidRPr="00E77B5A">
              <w:t>Self-referral indicator = ‘1’ – Yes</w:t>
            </w:r>
          </w:p>
          <w:p w14:paraId="250A322A" w14:textId="77777777" w:rsidR="00164159" w:rsidRPr="00E77B5A" w:rsidRDefault="00164159" w:rsidP="00164159">
            <w:pPr>
              <w:pStyle w:val="ListBullet"/>
            </w:pPr>
            <w:r w:rsidRPr="00E77B5A">
              <w:t>Service delivery mode is ‘12’ – Telehealth – recipient</w:t>
            </w:r>
          </w:p>
          <w:p w14:paraId="13333BEB" w14:textId="77777777" w:rsidR="00164159" w:rsidRPr="00E77B5A" w:rsidRDefault="00164159" w:rsidP="00164159">
            <w:pPr>
              <w:pStyle w:val="ListBullet"/>
            </w:pPr>
            <w:r w:rsidRPr="00E77B5A">
              <w:t>Service request source is null</w:t>
            </w:r>
          </w:p>
          <w:p w14:paraId="2F8E64DD" w14:textId="77777777" w:rsidR="00164159" w:rsidRPr="00E77B5A" w:rsidRDefault="00164159" w:rsidP="00164159">
            <w:pPr>
              <w:pStyle w:val="ListBullet"/>
            </w:pPr>
            <w:r w:rsidRPr="00E77B5A">
              <w:t>Service request received date is null</w:t>
            </w:r>
          </w:p>
          <w:p w14:paraId="54E11244" w14:textId="5D441B2E" w:rsidR="00164159" w:rsidRPr="00E77B5A" w:rsidRDefault="00164159" w:rsidP="00164159">
            <w:pPr>
              <w:pStyle w:val="BodyText"/>
              <w:rPr>
                <w:bCs/>
                <w:u w:val="single"/>
              </w:rPr>
            </w:pPr>
            <w:r w:rsidRPr="00E77B5A">
              <w:rPr>
                <w:bCs/>
              </w:rPr>
              <w:t>No CCC exclusion applies.</w:t>
            </w:r>
          </w:p>
        </w:tc>
      </w:tr>
      <w:tr w:rsidR="00E77B5A" w:rsidRPr="00E77B5A" w14:paraId="4FB33A18" w14:textId="77777777" w:rsidTr="007C2700">
        <w:trPr>
          <w:trHeight w:val="315"/>
        </w:trPr>
        <w:tc>
          <w:tcPr>
            <w:tcW w:w="2070" w:type="dxa"/>
            <w:shd w:val="clear" w:color="auto" w:fill="94DCEF"/>
            <w:vAlign w:val="center"/>
            <w:hideMark/>
          </w:tcPr>
          <w:p w14:paraId="1F39196A" w14:textId="77777777" w:rsidR="00E77B5A" w:rsidRPr="00E77B5A" w:rsidRDefault="00E77B5A" w:rsidP="00E77B5A">
            <w:pPr>
              <w:pStyle w:val="BodyText"/>
              <w:rPr>
                <w:b/>
                <w:bCs/>
              </w:rPr>
            </w:pPr>
            <w:r w:rsidRPr="00E77B5A">
              <w:rPr>
                <w:b/>
                <w:bCs/>
              </w:rPr>
              <w:t>File Format Item #</w:t>
            </w:r>
          </w:p>
        </w:tc>
        <w:tc>
          <w:tcPr>
            <w:tcW w:w="707" w:type="dxa"/>
            <w:shd w:val="clear" w:color="auto" w:fill="B8E5FC"/>
            <w:vAlign w:val="center"/>
            <w:hideMark/>
          </w:tcPr>
          <w:p w14:paraId="6C90BDCA" w14:textId="77777777" w:rsidR="00E77B5A" w:rsidRPr="00E77B5A" w:rsidRDefault="00E77B5A" w:rsidP="00E77B5A">
            <w:pPr>
              <w:pStyle w:val="BodyText"/>
              <w:rPr>
                <w:bCs/>
              </w:rPr>
            </w:pPr>
            <w:r w:rsidRPr="00E77B5A">
              <w:rPr>
                <w:bCs/>
              </w:rPr>
              <w:t>44</w:t>
            </w:r>
          </w:p>
        </w:tc>
        <w:tc>
          <w:tcPr>
            <w:tcW w:w="2473" w:type="dxa"/>
            <w:shd w:val="clear" w:color="auto" w:fill="94DCEF"/>
            <w:vAlign w:val="center"/>
            <w:hideMark/>
          </w:tcPr>
          <w:p w14:paraId="07CDD6C3" w14:textId="77777777" w:rsidR="00E77B5A" w:rsidRPr="00E77B5A" w:rsidRDefault="00E77B5A" w:rsidP="00E77B5A">
            <w:pPr>
              <w:pStyle w:val="BodyText"/>
              <w:rPr>
                <w:b/>
                <w:bCs/>
              </w:rPr>
            </w:pPr>
            <w:r w:rsidRPr="00E77B5A">
              <w:rPr>
                <w:b/>
                <w:bCs/>
              </w:rPr>
              <w:t>File Format Data Item</w:t>
            </w:r>
          </w:p>
        </w:tc>
        <w:tc>
          <w:tcPr>
            <w:tcW w:w="2840" w:type="dxa"/>
            <w:shd w:val="clear" w:color="auto" w:fill="B8E5FC"/>
            <w:vAlign w:val="center"/>
            <w:hideMark/>
          </w:tcPr>
          <w:p w14:paraId="7EB4AB5C" w14:textId="77777777" w:rsidR="00E77B5A" w:rsidRPr="00E77B5A" w:rsidRDefault="00EC2651" w:rsidP="00E77B5A">
            <w:pPr>
              <w:pStyle w:val="BodyText"/>
              <w:rPr>
                <w:bCs/>
              </w:rPr>
            </w:pPr>
            <w:hyperlink r:id="rId37" w:history="1">
              <w:r w:rsidR="00E77B5A" w:rsidRPr="00E77B5A">
                <w:rPr>
                  <w:rStyle w:val="Hyperlink"/>
                  <w:bCs/>
                </w:rPr>
                <w:t>Self-referral indicator</w:t>
              </w:r>
            </w:hyperlink>
          </w:p>
        </w:tc>
        <w:tc>
          <w:tcPr>
            <w:tcW w:w="3235" w:type="dxa"/>
            <w:shd w:val="clear" w:color="auto" w:fill="94DCEF"/>
            <w:vAlign w:val="center"/>
          </w:tcPr>
          <w:p w14:paraId="741EF549" w14:textId="77777777" w:rsidR="00E77B5A" w:rsidRPr="00E77B5A" w:rsidRDefault="00E77B5A" w:rsidP="00E77B5A">
            <w:pPr>
              <w:pStyle w:val="BodyText"/>
              <w:rPr>
                <w:bCs/>
                <w:u w:val="single"/>
              </w:rPr>
            </w:pPr>
            <w:r w:rsidRPr="00E77B5A">
              <w:rPr>
                <w:b/>
                <w:bCs/>
              </w:rPr>
              <w:t>Relevant Values in Data Domain</w:t>
            </w:r>
          </w:p>
        </w:tc>
        <w:tc>
          <w:tcPr>
            <w:tcW w:w="2421" w:type="dxa"/>
            <w:shd w:val="clear" w:color="auto" w:fill="auto"/>
            <w:vAlign w:val="center"/>
          </w:tcPr>
          <w:p w14:paraId="62B4DDF0" w14:textId="77777777" w:rsidR="00E77B5A" w:rsidRPr="00E77B5A" w:rsidRDefault="00E77B5A" w:rsidP="00E77B5A">
            <w:pPr>
              <w:pStyle w:val="BodyText"/>
              <w:rPr>
                <w:bCs/>
              </w:rPr>
            </w:pPr>
            <w:r w:rsidRPr="00E77B5A">
              <w:rPr>
                <w:bCs/>
              </w:rPr>
              <w:t>N/A</w:t>
            </w:r>
          </w:p>
        </w:tc>
      </w:tr>
    </w:tbl>
    <w:p w14:paraId="68FAAD0B" w14:textId="77777777" w:rsidR="00E77B5A" w:rsidRPr="00E77B5A" w:rsidRDefault="00E77B5A" w:rsidP="00B671B4">
      <w:pPr>
        <w:pStyle w:val="Heading1"/>
      </w:pPr>
      <w:r w:rsidRPr="00E77B5A">
        <w:br w:type="page"/>
      </w:r>
      <w:bookmarkStart w:id="54" w:name="_Toc128055682"/>
      <w:bookmarkStart w:id="55" w:name="_Toc137546432"/>
      <w:bookmarkStart w:id="56" w:name="_Toc168662798"/>
      <w:r w:rsidRPr="00E77B5A">
        <w:lastRenderedPageBreak/>
        <w:t>Rule 11b – Derive service request (referral) source – telehealth recipient</w:t>
      </w:r>
      <w:bookmarkEnd w:id="54"/>
      <w:bookmarkEnd w:id="55"/>
      <w:bookmarkEnd w:id="56"/>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0"/>
        <w:gridCol w:w="708"/>
        <w:gridCol w:w="2473"/>
        <w:gridCol w:w="2839"/>
        <w:gridCol w:w="3235"/>
        <w:gridCol w:w="2421"/>
      </w:tblGrid>
      <w:tr w:rsidR="00E77B5A" w:rsidRPr="00E77B5A" w14:paraId="64B66F38" w14:textId="77777777" w:rsidTr="00164159">
        <w:trPr>
          <w:trHeight w:val="540"/>
        </w:trPr>
        <w:tc>
          <w:tcPr>
            <w:tcW w:w="2070" w:type="dxa"/>
            <w:shd w:val="clear" w:color="auto" w:fill="001D47"/>
            <w:vAlign w:val="center"/>
            <w:hideMark/>
          </w:tcPr>
          <w:p w14:paraId="73CD777A" w14:textId="77777777" w:rsidR="00E77B5A" w:rsidRPr="00E77B5A" w:rsidRDefault="00E77B5A" w:rsidP="00E77B5A">
            <w:pPr>
              <w:pStyle w:val="BodyText"/>
              <w:rPr>
                <w:b/>
                <w:bCs/>
              </w:rPr>
            </w:pPr>
            <w:r w:rsidRPr="00B671B4">
              <w:rPr>
                <w:b/>
                <w:bCs/>
                <w:color w:val="FFFFFF" w:themeColor="background1"/>
                <w:sz w:val="32"/>
                <w:szCs w:val="32"/>
              </w:rPr>
              <w:t>Rule No.</w:t>
            </w:r>
          </w:p>
        </w:tc>
        <w:tc>
          <w:tcPr>
            <w:tcW w:w="708" w:type="dxa"/>
            <w:shd w:val="clear" w:color="auto" w:fill="B8E5FC"/>
            <w:vAlign w:val="center"/>
            <w:hideMark/>
          </w:tcPr>
          <w:p w14:paraId="2C6D8685" w14:textId="77777777" w:rsidR="00E77B5A" w:rsidRPr="00E77B5A" w:rsidRDefault="00E77B5A" w:rsidP="00E77B5A">
            <w:pPr>
              <w:pStyle w:val="BodyText"/>
              <w:rPr>
                <w:b/>
                <w:bCs/>
              </w:rPr>
            </w:pPr>
            <w:r w:rsidRPr="00B671B4">
              <w:rPr>
                <w:b/>
                <w:bCs/>
                <w:sz w:val="32"/>
                <w:szCs w:val="32"/>
              </w:rPr>
              <w:t>11b</w:t>
            </w:r>
          </w:p>
        </w:tc>
        <w:tc>
          <w:tcPr>
            <w:tcW w:w="2473" w:type="dxa"/>
            <w:shd w:val="clear" w:color="auto" w:fill="001D47"/>
            <w:vAlign w:val="center"/>
            <w:hideMark/>
          </w:tcPr>
          <w:p w14:paraId="00CE7842" w14:textId="01D98F68" w:rsidR="00E77B5A" w:rsidRPr="00E77B5A" w:rsidRDefault="00AF3027" w:rsidP="00E77B5A">
            <w:pPr>
              <w:pStyle w:val="BodyText"/>
              <w:rPr>
                <w:b/>
                <w:bCs/>
              </w:rPr>
            </w:pPr>
            <w:r>
              <w:rPr>
                <w:b/>
                <w:bCs/>
                <w:color w:val="FFFFFF" w:themeColor="background1"/>
                <w:sz w:val="32"/>
                <w:szCs w:val="32"/>
              </w:rPr>
              <w:t>Business Rule</w:t>
            </w:r>
          </w:p>
        </w:tc>
        <w:tc>
          <w:tcPr>
            <w:tcW w:w="8495" w:type="dxa"/>
            <w:gridSpan w:val="3"/>
            <w:shd w:val="clear" w:color="auto" w:fill="B8E5FC"/>
            <w:vAlign w:val="center"/>
            <w:hideMark/>
          </w:tcPr>
          <w:p w14:paraId="0BE82A96" w14:textId="125F3C8F" w:rsidR="00E77B5A" w:rsidRPr="00E77B5A" w:rsidRDefault="00AF3027" w:rsidP="00E77B5A">
            <w:pPr>
              <w:pStyle w:val="BodyText"/>
              <w:rPr>
                <w:b/>
                <w:bCs/>
              </w:rPr>
            </w:pPr>
            <w:r w:rsidRPr="00E77B5A">
              <w:rPr>
                <w:bCs/>
              </w:rPr>
              <w:t>Derive service request (referral) source using the Self-Referral indicator where service delivery mode is telehealth - recipient.</w:t>
            </w:r>
          </w:p>
        </w:tc>
      </w:tr>
      <w:tr w:rsidR="00E77B5A" w:rsidRPr="00E77B5A" w14:paraId="1FA6A860" w14:textId="77777777" w:rsidTr="00164159">
        <w:trPr>
          <w:trHeight w:val="315"/>
        </w:trPr>
        <w:tc>
          <w:tcPr>
            <w:tcW w:w="2070" w:type="dxa"/>
            <w:shd w:val="clear" w:color="auto" w:fill="94DCEF"/>
            <w:vAlign w:val="center"/>
          </w:tcPr>
          <w:p w14:paraId="3C28F8A8" w14:textId="77777777" w:rsidR="00E77B5A" w:rsidRPr="00E77B5A" w:rsidRDefault="00E77B5A" w:rsidP="00E77B5A">
            <w:pPr>
              <w:pStyle w:val="BodyText"/>
              <w:rPr>
                <w:b/>
                <w:bCs/>
              </w:rPr>
            </w:pPr>
            <w:r w:rsidRPr="00E77B5A">
              <w:rPr>
                <w:b/>
                <w:bCs/>
              </w:rPr>
              <w:t>Business Process</w:t>
            </w:r>
          </w:p>
        </w:tc>
        <w:tc>
          <w:tcPr>
            <w:tcW w:w="11676" w:type="dxa"/>
            <w:gridSpan w:val="5"/>
            <w:shd w:val="clear" w:color="auto" w:fill="auto"/>
            <w:vAlign w:val="center"/>
          </w:tcPr>
          <w:p w14:paraId="340D6DC8" w14:textId="4FC2CF54" w:rsidR="00E77B5A" w:rsidRPr="007C2700" w:rsidRDefault="00E77B5A" w:rsidP="00E77B5A">
            <w:pPr>
              <w:pStyle w:val="BodyText"/>
              <w:rPr>
                <w:b/>
                <w:u w:val="single"/>
              </w:rPr>
            </w:pPr>
            <w:r w:rsidRPr="007C2700">
              <w:rPr>
                <w:b/>
                <w:u w:val="single"/>
              </w:rPr>
              <w:t>Establishments can provide the self-referral indicator flag for service events with a service delivery mode of ‘12’ – Telehealth – recipient</w:t>
            </w:r>
            <w:r w:rsidR="003753F8" w:rsidRPr="007C2700">
              <w:rPr>
                <w:b/>
                <w:u w:val="single"/>
              </w:rPr>
              <w:t xml:space="preserve">. </w:t>
            </w:r>
            <w:r w:rsidRPr="007C2700">
              <w:rPr>
                <w:b/>
                <w:u w:val="single"/>
              </w:rPr>
              <w:t>The flag should only be used if referral details are not available and a current business process to record referrals does not exist</w:t>
            </w:r>
            <w:r w:rsidR="003753F8" w:rsidRPr="007C2700">
              <w:rPr>
                <w:b/>
                <w:u w:val="single"/>
              </w:rPr>
              <w:t xml:space="preserve">. </w:t>
            </w:r>
            <w:r w:rsidRPr="007C2700">
              <w:rPr>
                <w:b/>
                <w:u w:val="single"/>
              </w:rPr>
              <w:t>Service request source of ‘70’ – Health care client – Self can be applied as a valid referral source for service events where it is deemed by a HHS or facility that a patient can ‘self refer’ to that clinical service.</w:t>
            </w:r>
          </w:p>
          <w:p w14:paraId="56D30298" w14:textId="77777777" w:rsidR="00164159" w:rsidRPr="00E77B5A" w:rsidRDefault="00164159" w:rsidP="00164159">
            <w:pPr>
              <w:pStyle w:val="BodyText"/>
              <w:rPr>
                <w:bCs/>
              </w:rPr>
            </w:pPr>
            <w:r w:rsidRPr="00E77B5A">
              <w:rPr>
                <w:bCs/>
              </w:rPr>
              <w:t>Statistical Services Branch will populate the service request source with ‘70’ – Health care client - Self when the below criteria is met:</w:t>
            </w:r>
          </w:p>
          <w:p w14:paraId="78175F67" w14:textId="77777777" w:rsidR="00164159" w:rsidRPr="00E77B5A" w:rsidRDefault="00164159" w:rsidP="00164159">
            <w:pPr>
              <w:pStyle w:val="ListBullet"/>
            </w:pPr>
            <w:r w:rsidRPr="00E77B5A">
              <w:t xml:space="preserve">Self-referral indicator = ‘1’ – Yes </w:t>
            </w:r>
          </w:p>
          <w:p w14:paraId="33B3D89F" w14:textId="77777777" w:rsidR="00164159" w:rsidRPr="00E77B5A" w:rsidRDefault="00164159" w:rsidP="00164159">
            <w:pPr>
              <w:pStyle w:val="ListBullet"/>
            </w:pPr>
            <w:r w:rsidRPr="00E77B5A">
              <w:t xml:space="preserve">Service delivery mode is ‘12’ – Telehealth – recipient </w:t>
            </w:r>
          </w:p>
          <w:p w14:paraId="158A1C50" w14:textId="77777777" w:rsidR="00164159" w:rsidRPr="00E77B5A" w:rsidRDefault="00164159" w:rsidP="00164159">
            <w:pPr>
              <w:pStyle w:val="ListBullet"/>
            </w:pPr>
            <w:r w:rsidRPr="00E77B5A">
              <w:t>Service request source is null</w:t>
            </w:r>
          </w:p>
          <w:p w14:paraId="0AD81B94" w14:textId="4BD1FC42" w:rsidR="00164159" w:rsidRPr="00E77B5A" w:rsidRDefault="00164159" w:rsidP="007C2700">
            <w:pPr>
              <w:pStyle w:val="ListBullet"/>
              <w:rPr>
                <w:bCs/>
                <w:u w:val="single"/>
              </w:rPr>
            </w:pPr>
            <w:r w:rsidRPr="00E77B5A">
              <w:t>Service request received date is null</w:t>
            </w:r>
          </w:p>
        </w:tc>
      </w:tr>
      <w:tr w:rsidR="00E77B5A" w:rsidRPr="00E77B5A" w14:paraId="031EAB5A" w14:textId="77777777" w:rsidTr="007C2700">
        <w:trPr>
          <w:trHeight w:val="315"/>
        </w:trPr>
        <w:tc>
          <w:tcPr>
            <w:tcW w:w="2070" w:type="dxa"/>
            <w:shd w:val="clear" w:color="auto" w:fill="94DCEF"/>
            <w:vAlign w:val="center"/>
            <w:hideMark/>
          </w:tcPr>
          <w:p w14:paraId="579639C6" w14:textId="77777777" w:rsidR="00E77B5A" w:rsidRPr="00E77B5A" w:rsidRDefault="00E77B5A" w:rsidP="00E77B5A">
            <w:pPr>
              <w:pStyle w:val="BodyText"/>
              <w:rPr>
                <w:b/>
                <w:bCs/>
              </w:rPr>
            </w:pPr>
            <w:r w:rsidRPr="00E77B5A">
              <w:rPr>
                <w:b/>
                <w:bCs/>
              </w:rPr>
              <w:t>File Format Item #</w:t>
            </w:r>
          </w:p>
        </w:tc>
        <w:tc>
          <w:tcPr>
            <w:tcW w:w="708" w:type="dxa"/>
            <w:shd w:val="clear" w:color="auto" w:fill="B8E5FC"/>
            <w:vAlign w:val="center"/>
            <w:hideMark/>
          </w:tcPr>
          <w:p w14:paraId="39334509" w14:textId="77777777" w:rsidR="00E77B5A" w:rsidRPr="00E77B5A" w:rsidRDefault="00E77B5A" w:rsidP="00E77B5A">
            <w:pPr>
              <w:pStyle w:val="BodyText"/>
              <w:rPr>
                <w:bCs/>
              </w:rPr>
            </w:pPr>
            <w:r w:rsidRPr="00E77B5A">
              <w:rPr>
                <w:bCs/>
              </w:rPr>
              <w:t>44</w:t>
            </w:r>
          </w:p>
        </w:tc>
        <w:tc>
          <w:tcPr>
            <w:tcW w:w="2473" w:type="dxa"/>
            <w:shd w:val="clear" w:color="auto" w:fill="94DCEF"/>
            <w:vAlign w:val="center"/>
            <w:hideMark/>
          </w:tcPr>
          <w:p w14:paraId="7EEC3784" w14:textId="77777777" w:rsidR="00E77B5A" w:rsidRPr="00E77B5A" w:rsidRDefault="00E77B5A" w:rsidP="00E77B5A">
            <w:pPr>
              <w:pStyle w:val="BodyText"/>
              <w:rPr>
                <w:b/>
                <w:bCs/>
              </w:rPr>
            </w:pPr>
            <w:r w:rsidRPr="00E77B5A">
              <w:rPr>
                <w:b/>
                <w:bCs/>
              </w:rPr>
              <w:t>File Format Data Item</w:t>
            </w:r>
          </w:p>
        </w:tc>
        <w:tc>
          <w:tcPr>
            <w:tcW w:w="2839" w:type="dxa"/>
            <w:shd w:val="clear" w:color="auto" w:fill="B8E5FC"/>
            <w:vAlign w:val="center"/>
            <w:hideMark/>
          </w:tcPr>
          <w:p w14:paraId="471ACD92" w14:textId="77777777" w:rsidR="00E77B5A" w:rsidRPr="00E77B5A" w:rsidRDefault="00EC2651" w:rsidP="00E77B5A">
            <w:pPr>
              <w:pStyle w:val="BodyText"/>
              <w:rPr>
                <w:bCs/>
              </w:rPr>
            </w:pPr>
            <w:hyperlink r:id="rId38" w:history="1">
              <w:r w:rsidR="00E77B5A" w:rsidRPr="00E77B5A">
                <w:rPr>
                  <w:rStyle w:val="Hyperlink"/>
                  <w:bCs/>
                </w:rPr>
                <w:t>Self-referral indicator</w:t>
              </w:r>
            </w:hyperlink>
          </w:p>
        </w:tc>
        <w:tc>
          <w:tcPr>
            <w:tcW w:w="3235" w:type="dxa"/>
            <w:shd w:val="clear" w:color="auto" w:fill="94DCEF"/>
            <w:vAlign w:val="center"/>
          </w:tcPr>
          <w:p w14:paraId="6A4D3560" w14:textId="77777777" w:rsidR="00E77B5A" w:rsidRPr="00E77B5A" w:rsidRDefault="00E77B5A" w:rsidP="00E77B5A">
            <w:pPr>
              <w:pStyle w:val="BodyText"/>
              <w:rPr>
                <w:bCs/>
                <w:u w:val="single"/>
              </w:rPr>
            </w:pPr>
            <w:r w:rsidRPr="00E77B5A">
              <w:rPr>
                <w:b/>
                <w:bCs/>
              </w:rPr>
              <w:t>Relevant Values in Data Domain</w:t>
            </w:r>
          </w:p>
        </w:tc>
        <w:tc>
          <w:tcPr>
            <w:tcW w:w="2421" w:type="dxa"/>
            <w:shd w:val="clear" w:color="auto" w:fill="auto"/>
            <w:vAlign w:val="center"/>
          </w:tcPr>
          <w:p w14:paraId="2F058DD3" w14:textId="77777777" w:rsidR="00E77B5A" w:rsidRPr="00E77B5A" w:rsidRDefault="00E77B5A" w:rsidP="00E77B5A">
            <w:pPr>
              <w:pStyle w:val="BodyText"/>
              <w:rPr>
                <w:bCs/>
              </w:rPr>
            </w:pPr>
            <w:r w:rsidRPr="00E77B5A">
              <w:rPr>
                <w:bCs/>
              </w:rPr>
              <w:t>N/A</w:t>
            </w:r>
          </w:p>
        </w:tc>
      </w:tr>
    </w:tbl>
    <w:p w14:paraId="34541802" w14:textId="77777777" w:rsidR="00E77B5A" w:rsidRPr="00E77B5A" w:rsidRDefault="00E77B5A" w:rsidP="00725B28">
      <w:pPr>
        <w:pStyle w:val="Heading1"/>
      </w:pPr>
      <w:r w:rsidRPr="00E77B5A">
        <w:br w:type="page"/>
      </w:r>
      <w:bookmarkStart w:id="57" w:name="_Toc128055683"/>
      <w:bookmarkStart w:id="58" w:name="_Toc137546433"/>
      <w:bookmarkStart w:id="59" w:name="_Toc168662799"/>
      <w:r w:rsidRPr="00E77B5A">
        <w:lastRenderedPageBreak/>
        <w:t>Rule 12 – Derive IHACPA Tier 2 Code from ‘QH Tier 2’ code for MDCC activity – patient not present</w:t>
      </w:r>
      <w:bookmarkEnd w:id="57"/>
      <w:bookmarkEnd w:id="58"/>
      <w:bookmarkEnd w:id="5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567"/>
        <w:gridCol w:w="2268"/>
        <w:gridCol w:w="3969"/>
        <w:gridCol w:w="3544"/>
        <w:gridCol w:w="1428"/>
      </w:tblGrid>
      <w:tr w:rsidR="00E77B5A" w:rsidRPr="00E77B5A" w14:paraId="27CE72C1" w14:textId="77777777" w:rsidTr="007C2700">
        <w:trPr>
          <w:trHeight w:val="540"/>
        </w:trPr>
        <w:tc>
          <w:tcPr>
            <w:tcW w:w="1970" w:type="dxa"/>
            <w:shd w:val="clear" w:color="auto" w:fill="001D47"/>
            <w:vAlign w:val="center"/>
            <w:hideMark/>
          </w:tcPr>
          <w:p w14:paraId="1929E430" w14:textId="77777777" w:rsidR="00E77B5A" w:rsidRPr="00E77B5A" w:rsidRDefault="00E77B5A" w:rsidP="00E77B5A">
            <w:pPr>
              <w:pStyle w:val="BodyText"/>
              <w:rPr>
                <w:b/>
                <w:bCs/>
              </w:rPr>
            </w:pPr>
            <w:r w:rsidRPr="00725B28">
              <w:rPr>
                <w:b/>
                <w:bCs/>
                <w:color w:val="FFFFFF" w:themeColor="background1"/>
                <w:sz w:val="32"/>
                <w:szCs w:val="32"/>
              </w:rPr>
              <w:t>Rule No.</w:t>
            </w:r>
          </w:p>
        </w:tc>
        <w:tc>
          <w:tcPr>
            <w:tcW w:w="567" w:type="dxa"/>
            <w:shd w:val="clear" w:color="auto" w:fill="B8E5FC"/>
            <w:vAlign w:val="center"/>
            <w:hideMark/>
          </w:tcPr>
          <w:p w14:paraId="7723C8A5" w14:textId="77777777" w:rsidR="00E77B5A" w:rsidRPr="00E77B5A" w:rsidRDefault="00E77B5A" w:rsidP="00E77B5A">
            <w:pPr>
              <w:pStyle w:val="BodyText"/>
              <w:rPr>
                <w:b/>
                <w:bCs/>
              </w:rPr>
            </w:pPr>
            <w:r w:rsidRPr="00725B28">
              <w:rPr>
                <w:b/>
                <w:bCs/>
                <w:sz w:val="32"/>
                <w:szCs w:val="32"/>
              </w:rPr>
              <w:t>12</w:t>
            </w:r>
          </w:p>
        </w:tc>
        <w:tc>
          <w:tcPr>
            <w:tcW w:w="2268" w:type="dxa"/>
            <w:shd w:val="clear" w:color="auto" w:fill="001D47"/>
            <w:vAlign w:val="center"/>
            <w:hideMark/>
          </w:tcPr>
          <w:p w14:paraId="32D55F86" w14:textId="4DC64092" w:rsidR="00E77B5A" w:rsidRPr="00E77B5A" w:rsidRDefault="00AF3027" w:rsidP="00E77B5A">
            <w:pPr>
              <w:pStyle w:val="BodyText"/>
              <w:rPr>
                <w:b/>
                <w:bCs/>
              </w:rPr>
            </w:pPr>
            <w:r>
              <w:rPr>
                <w:b/>
                <w:bCs/>
                <w:color w:val="FFFFFF" w:themeColor="background1"/>
                <w:sz w:val="32"/>
                <w:szCs w:val="32"/>
              </w:rPr>
              <w:t>Business Rule</w:t>
            </w:r>
          </w:p>
        </w:tc>
        <w:tc>
          <w:tcPr>
            <w:tcW w:w="8941" w:type="dxa"/>
            <w:gridSpan w:val="3"/>
            <w:shd w:val="clear" w:color="auto" w:fill="B8E5FC"/>
            <w:vAlign w:val="center"/>
            <w:hideMark/>
          </w:tcPr>
          <w:p w14:paraId="3EBE5BA4" w14:textId="77777777" w:rsidR="00E77B5A" w:rsidRPr="00E77B5A" w:rsidRDefault="00E77B5A" w:rsidP="00E77B5A">
            <w:pPr>
              <w:pStyle w:val="BodyText"/>
              <w:rPr>
                <w:b/>
                <w:bCs/>
              </w:rPr>
            </w:pPr>
            <w:r w:rsidRPr="007C2700">
              <w:rPr>
                <w:bCs/>
              </w:rPr>
              <w:t>Derive IHACPA Tier 2 Code from 'QH Tier 2' code for MDCC activity - patient not present</w:t>
            </w:r>
          </w:p>
        </w:tc>
      </w:tr>
      <w:tr w:rsidR="00E77B5A" w:rsidRPr="00E77B5A" w14:paraId="36364AC5" w14:textId="77777777" w:rsidTr="007C2700">
        <w:trPr>
          <w:trHeight w:val="315"/>
        </w:trPr>
        <w:tc>
          <w:tcPr>
            <w:tcW w:w="1970" w:type="dxa"/>
            <w:shd w:val="clear" w:color="auto" w:fill="94DCEF"/>
            <w:vAlign w:val="center"/>
          </w:tcPr>
          <w:p w14:paraId="27CA6874" w14:textId="77777777" w:rsidR="00E77B5A" w:rsidRPr="00E77B5A" w:rsidRDefault="00E77B5A" w:rsidP="00E77B5A">
            <w:pPr>
              <w:pStyle w:val="BodyText"/>
              <w:rPr>
                <w:b/>
                <w:bCs/>
              </w:rPr>
            </w:pPr>
            <w:r w:rsidRPr="00E77B5A">
              <w:rPr>
                <w:b/>
                <w:bCs/>
              </w:rPr>
              <w:t>Business Process</w:t>
            </w:r>
          </w:p>
        </w:tc>
        <w:tc>
          <w:tcPr>
            <w:tcW w:w="11776" w:type="dxa"/>
            <w:gridSpan w:val="5"/>
            <w:shd w:val="clear" w:color="auto" w:fill="auto"/>
            <w:vAlign w:val="center"/>
          </w:tcPr>
          <w:p w14:paraId="4E526BB0" w14:textId="77777777" w:rsidR="00E77B5A" w:rsidRPr="007C2700" w:rsidRDefault="00E77B5A" w:rsidP="00E77B5A">
            <w:pPr>
              <w:pStyle w:val="BodyText"/>
              <w:rPr>
                <w:b/>
                <w:u w:val="single"/>
              </w:rPr>
            </w:pPr>
            <w:r w:rsidRPr="007C2700">
              <w:rPr>
                <w:b/>
                <w:u w:val="single"/>
              </w:rPr>
              <w:t>An IHACPA Tier 2 code will be derived using the supplied/derived QH Tier 2 code, except where the Multiple Health Care Provider indicator and the Patient not present indicator both = ‘1’ – Yes.</w:t>
            </w:r>
          </w:p>
          <w:p w14:paraId="3D352063" w14:textId="7A629BA3" w:rsidR="00164159" w:rsidRPr="00E77B5A" w:rsidRDefault="00164159" w:rsidP="00164159">
            <w:pPr>
              <w:pStyle w:val="BodyText"/>
              <w:rPr>
                <w:bCs/>
              </w:rPr>
            </w:pPr>
            <w:r w:rsidRPr="00E77B5A">
              <w:rPr>
                <w:bCs/>
              </w:rPr>
              <w:t>Statistical Services Branch will derive the IHACPA Tier 2 codes for reporting MDCC service events when the Multiple Health Care Provider indicator and the Patient not present indicator both = ‘1’ – Yes for reporting activity to IHACPA</w:t>
            </w:r>
            <w:r w:rsidR="003753F8" w:rsidRPr="00E77B5A">
              <w:rPr>
                <w:bCs/>
              </w:rPr>
              <w:t xml:space="preserve">. </w:t>
            </w:r>
            <w:r w:rsidRPr="00E77B5A">
              <w:rPr>
                <w:bCs/>
              </w:rPr>
              <w:t>The IHACPA reportable flag will equal ‘1’ – Yes</w:t>
            </w:r>
            <w:r w:rsidR="003753F8" w:rsidRPr="00E77B5A">
              <w:rPr>
                <w:bCs/>
              </w:rPr>
              <w:t xml:space="preserve">. </w:t>
            </w:r>
            <w:r w:rsidRPr="00E77B5A">
              <w:rPr>
                <w:bCs/>
              </w:rPr>
              <w:t>Service events received with only the Patient not present indicator = ‘1’ – Yes will be flagged as not IHACPA reportable and a validation will be applied to the record.</w:t>
            </w:r>
          </w:p>
          <w:p w14:paraId="1B160123" w14:textId="37A16279" w:rsidR="00164159" w:rsidRPr="00E77B5A" w:rsidRDefault="00164159" w:rsidP="00164159">
            <w:pPr>
              <w:pStyle w:val="BodyText"/>
              <w:rPr>
                <w:bCs/>
                <w:u w:val="single"/>
              </w:rPr>
            </w:pPr>
            <w:r w:rsidRPr="00E77B5A">
              <w:rPr>
                <w:bCs/>
              </w:rPr>
              <w:t xml:space="preserve">Refer to </w:t>
            </w:r>
            <w:hyperlink w:anchor="_Rule_14_–" w:history="1">
              <w:r w:rsidRPr="00E77B5A">
                <w:rPr>
                  <w:rStyle w:val="Hyperlink"/>
                </w:rPr>
                <w:t>R</w:t>
              </w:r>
              <w:r w:rsidRPr="00E77B5A">
                <w:rPr>
                  <w:rStyle w:val="Hyperlink"/>
                  <w:bCs/>
                </w:rPr>
                <w:t>ule 14 - 'Multiple Health Care Provider – National Reporting'</w:t>
              </w:r>
            </w:hyperlink>
            <w:r w:rsidRPr="00E77B5A">
              <w:rPr>
                <w:bCs/>
              </w:rPr>
              <w:t xml:space="preserve"> regarding derivations applied for national reporting requirements of MHCP and MDCC service events.</w:t>
            </w:r>
          </w:p>
        </w:tc>
      </w:tr>
      <w:tr w:rsidR="00E77B5A" w:rsidRPr="00E77B5A" w14:paraId="33B7F0F7" w14:textId="77777777" w:rsidTr="007C2700">
        <w:trPr>
          <w:trHeight w:val="315"/>
        </w:trPr>
        <w:tc>
          <w:tcPr>
            <w:tcW w:w="1970" w:type="dxa"/>
            <w:shd w:val="clear" w:color="auto" w:fill="94DCEF"/>
            <w:vAlign w:val="center"/>
            <w:hideMark/>
          </w:tcPr>
          <w:p w14:paraId="5BDF441A" w14:textId="77777777" w:rsidR="00E77B5A" w:rsidRPr="00E77B5A" w:rsidRDefault="00E77B5A" w:rsidP="00E77B5A">
            <w:pPr>
              <w:pStyle w:val="BodyText"/>
              <w:rPr>
                <w:b/>
                <w:bCs/>
              </w:rPr>
            </w:pPr>
            <w:r w:rsidRPr="00E77B5A">
              <w:rPr>
                <w:b/>
                <w:bCs/>
              </w:rPr>
              <w:t>File Format Item #</w:t>
            </w:r>
          </w:p>
        </w:tc>
        <w:tc>
          <w:tcPr>
            <w:tcW w:w="567" w:type="dxa"/>
            <w:shd w:val="clear" w:color="auto" w:fill="B8E5FC"/>
            <w:vAlign w:val="center"/>
            <w:hideMark/>
          </w:tcPr>
          <w:p w14:paraId="1F447FCD" w14:textId="77777777" w:rsidR="00E77B5A" w:rsidRPr="00E77B5A" w:rsidRDefault="00E77B5A" w:rsidP="00E77B5A">
            <w:pPr>
              <w:pStyle w:val="BodyText"/>
              <w:rPr>
                <w:bCs/>
              </w:rPr>
            </w:pPr>
            <w:r w:rsidRPr="00E77B5A">
              <w:rPr>
                <w:bCs/>
              </w:rPr>
              <w:t>23</w:t>
            </w:r>
          </w:p>
        </w:tc>
        <w:tc>
          <w:tcPr>
            <w:tcW w:w="2268" w:type="dxa"/>
            <w:shd w:val="clear" w:color="auto" w:fill="94DCEF"/>
            <w:vAlign w:val="center"/>
            <w:hideMark/>
          </w:tcPr>
          <w:p w14:paraId="21E79399" w14:textId="77777777" w:rsidR="00E77B5A" w:rsidRPr="00E77B5A" w:rsidRDefault="00E77B5A" w:rsidP="00E77B5A">
            <w:pPr>
              <w:pStyle w:val="BodyText"/>
              <w:rPr>
                <w:b/>
                <w:bCs/>
              </w:rPr>
            </w:pPr>
            <w:r w:rsidRPr="00E77B5A">
              <w:rPr>
                <w:b/>
                <w:bCs/>
              </w:rPr>
              <w:t>File Format Data Item</w:t>
            </w:r>
          </w:p>
        </w:tc>
        <w:tc>
          <w:tcPr>
            <w:tcW w:w="3969" w:type="dxa"/>
            <w:shd w:val="clear" w:color="auto" w:fill="B8E5FC"/>
            <w:vAlign w:val="center"/>
            <w:hideMark/>
          </w:tcPr>
          <w:p w14:paraId="4C1609EE" w14:textId="77777777" w:rsidR="00E77B5A" w:rsidRPr="00E77B5A" w:rsidRDefault="00EC2651" w:rsidP="00E77B5A">
            <w:pPr>
              <w:pStyle w:val="BodyText"/>
            </w:pPr>
            <w:hyperlink r:id="rId39" w:history="1">
              <w:r w:rsidR="00E77B5A" w:rsidRPr="00E77B5A">
                <w:rPr>
                  <w:rStyle w:val="Hyperlink"/>
                </w:rPr>
                <w:t>Multiple healthcare provider indicator</w:t>
              </w:r>
            </w:hyperlink>
          </w:p>
        </w:tc>
        <w:tc>
          <w:tcPr>
            <w:tcW w:w="3544" w:type="dxa"/>
            <w:shd w:val="clear" w:color="auto" w:fill="94DCEF"/>
            <w:vAlign w:val="center"/>
          </w:tcPr>
          <w:p w14:paraId="0487D5E4" w14:textId="77777777" w:rsidR="00E77B5A" w:rsidRPr="00E77B5A" w:rsidRDefault="00E77B5A" w:rsidP="00E77B5A">
            <w:pPr>
              <w:pStyle w:val="BodyText"/>
              <w:rPr>
                <w:bCs/>
                <w:u w:val="single"/>
              </w:rPr>
            </w:pPr>
            <w:r w:rsidRPr="00E77B5A">
              <w:rPr>
                <w:b/>
                <w:bCs/>
              </w:rPr>
              <w:t>Relevant Values in Data Domain</w:t>
            </w:r>
          </w:p>
        </w:tc>
        <w:tc>
          <w:tcPr>
            <w:tcW w:w="1428" w:type="dxa"/>
            <w:shd w:val="clear" w:color="auto" w:fill="auto"/>
            <w:vAlign w:val="center"/>
          </w:tcPr>
          <w:p w14:paraId="6A254AEA" w14:textId="77777777" w:rsidR="00E77B5A" w:rsidRPr="00E77B5A" w:rsidRDefault="00E77B5A" w:rsidP="00E77B5A">
            <w:pPr>
              <w:pStyle w:val="BodyText"/>
              <w:rPr>
                <w:bCs/>
              </w:rPr>
            </w:pPr>
            <w:r w:rsidRPr="00E77B5A">
              <w:rPr>
                <w:bCs/>
              </w:rPr>
              <w:t>‘1’ – Yes</w:t>
            </w:r>
          </w:p>
        </w:tc>
      </w:tr>
      <w:tr w:rsidR="00E77B5A" w:rsidRPr="00E77B5A" w14:paraId="513E8724" w14:textId="77777777" w:rsidTr="007C2700">
        <w:trPr>
          <w:trHeight w:val="315"/>
        </w:trPr>
        <w:tc>
          <w:tcPr>
            <w:tcW w:w="1970" w:type="dxa"/>
            <w:shd w:val="clear" w:color="auto" w:fill="94DCEF"/>
            <w:vAlign w:val="center"/>
            <w:hideMark/>
          </w:tcPr>
          <w:p w14:paraId="32A3F42C" w14:textId="77777777" w:rsidR="00E77B5A" w:rsidRPr="00E77B5A" w:rsidRDefault="00E77B5A" w:rsidP="00E77B5A">
            <w:pPr>
              <w:pStyle w:val="BodyText"/>
              <w:rPr>
                <w:b/>
                <w:bCs/>
              </w:rPr>
            </w:pPr>
            <w:r w:rsidRPr="00E77B5A">
              <w:rPr>
                <w:b/>
                <w:bCs/>
              </w:rPr>
              <w:t>File Format Item #</w:t>
            </w:r>
          </w:p>
        </w:tc>
        <w:tc>
          <w:tcPr>
            <w:tcW w:w="567" w:type="dxa"/>
            <w:shd w:val="clear" w:color="auto" w:fill="B8E5FC"/>
            <w:vAlign w:val="center"/>
            <w:hideMark/>
          </w:tcPr>
          <w:p w14:paraId="56DAF78D" w14:textId="77777777" w:rsidR="00E77B5A" w:rsidRPr="00E77B5A" w:rsidRDefault="00E77B5A" w:rsidP="00E77B5A">
            <w:pPr>
              <w:pStyle w:val="BodyText"/>
              <w:rPr>
                <w:bCs/>
              </w:rPr>
            </w:pPr>
            <w:r w:rsidRPr="00E77B5A">
              <w:rPr>
                <w:bCs/>
              </w:rPr>
              <w:t>45</w:t>
            </w:r>
          </w:p>
        </w:tc>
        <w:tc>
          <w:tcPr>
            <w:tcW w:w="2268" w:type="dxa"/>
            <w:shd w:val="clear" w:color="auto" w:fill="94DCEF"/>
            <w:vAlign w:val="center"/>
            <w:hideMark/>
          </w:tcPr>
          <w:p w14:paraId="2957C593" w14:textId="77777777" w:rsidR="00E77B5A" w:rsidRPr="00E77B5A" w:rsidRDefault="00E77B5A" w:rsidP="00E77B5A">
            <w:pPr>
              <w:pStyle w:val="BodyText"/>
              <w:rPr>
                <w:b/>
                <w:bCs/>
              </w:rPr>
            </w:pPr>
            <w:r w:rsidRPr="00E77B5A">
              <w:rPr>
                <w:b/>
                <w:bCs/>
              </w:rPr>
              <w:t>File Format Data Item</w:t>
            </w:r>
          </w:p>
        </w:tc>
        <w:tc>
          <w:tcPr>
            <w:tcW w:w="3969" w:type="dxa"/>
            <w:shd w:val="clear" w:color="auto" w:fill="B8E5FC"/>
            <w:vAlign w:val="center"/>
            <w:hideMark/>
          </w:tcPr>
          <w:p w14:paraId="27435AB7" w14:textId="77777777" w:rsidR="00E77B5A" w:rsidRPr="00E77B5A" w:rsidRDefault="00EC2651" w:rsidP="00E77B5A">
            <w:pPr>
              <w:pStyle w:val="BodyText"/>
            </w:pPr>
            <w:hyperlink r:id="rId40" w:history="1">
              <w:r w:rsidR="00E77B5A" w:rsidRPr="00E77B5A">
                <w:rPr>
                  <w:rStyle w:val="Hyperlink"/>
                </w:rPr>
                <w:t>Patient not present indicator</w:t>
              </w:r>
            </w:hyperlink>
          </w:p>
        </w:tc>
        <w:tc>
          <w:tcPr>
            <w:tcW w:w="3544" w:type="dxa"/>
            <w:shd w:val="clear" w:color="auto" w:fill="94DCEF"/>
            <w:vAlign w:val="center"/>
          </w:tcPr>
          <w:p w14:paraId="5DFBEECD" w14:textId="77777777" w:rsidR="00E77B5A" w:rsidRPr="00E77B5A" w:rsidRDefault="00E77B5A" w:rsidP="00E77B5A">
            <w:pPr>
              <w:pStyle w:val="BodyText"/>
              <w:rPr>
                <w:bCs/>
                <w:u w:val="single"/>
              </w:rPr>
            </w:pPr>
            <w:r w:rsidRPr="00E77B5A">
              <w:rPr>
                <w:b/>
                <w:bCs/>
              </w:rPr>
              <w:t>Relevant Values in Data Domain</w:t>
            </w:r>
          </w:p>
        </w:tc>
        <w:tc>
          <w:tcPr>
            <w:tcW w:w="1428" w:type="dxa"/>
            <w:shd w:val="clear" w:color="auto" w:fill="auto"/>
            <w:vAlign w:val="center"/>
          </w:tcPr>
          <w:p w14:paraId="250523E3" w14:textId="77777777" w:rsidR="00E77B5A" w:rsidRPr="00E77B5A" w:rsidRDefault="00E77B5A" w:rsidP="00E77B5A">
            <w:pPr>
              <w:pStyle w:val="BodyText"/>
              <w:rPr>
                <w:bCs/>
              </w:rPr>
            </w:pPr>
            <w:r w:rsidRPr="00E77B5A">
              <w:rPr>
                <w:bCs/>
              </w:rPr>
              <w:t>‘1’ – Yes</w:t>
            </w:r>
          </w:p>
        </w:tc>
      </w:tr>
    </w:tbl>
    <w:bookmarkStart w:id="60" w:name="_Toc129948826"/>
    <w:bookmarkStart w:id="61" w:name="_Toc129948853"/>
    <w:p w14:paraId="2BD3AC59" w14:textId="2D615054" w:rsidR="00725B28" w:rsidRPr="008D46FD" w:rsidRDefault="00725B28" w:rsidP="00725B28">
      <w:pPr>
        <w:pStyle w:val="Callout"/>
        <w:rPr>
          <w:sz w:val="36"/>
          <w:szCs w:val="36"/>
        </w:rPr>
      </w:pPr>
      <w:r w:rsidRPr="008D46FD">
        <w:fldChar w:fldCharType="begin"/>
      </w:r>
      <w:r w:rsidR="008D46FD" w:rsidRPr="008D46FD">
        <w:rPr>
          <w:sz w:val="36"/>
          <w:szCs w:val="36"/>
        </w:rPr>
        <w:instrText>HYPERLINK "https://www.health.qld.gov.au/__data/assets/excel_doc/0030/1326378/QHNAPDC-Clinic-Mapping-and-Business-Rules-6-7-10-12-14-from-01-July-2024.xlsx"</w:instrText>
      </w:r>
      <w:r w:rsidRPr="008D46FD">
        <w:fldChar w:fldCharType="separate"/>
      </w:r>
      <w:r w:rsidRPr="008D46FD">
        <w:rPr>
          <w:rStyle w:val="Hyperlink"/>
          <w:b/>
          <w:bCs/>
          <w:sz w:val="36"/>
          <w:szCs w:val="36"/>
        </w:rPr>
        <w:t>Click here to view the IHACPA Tier 2 code derivations for MDCCs</w:t>
      </w:r>
      <w:r w:rsidR="008D46FD" w:rsidRPr="008D46FD">
        <w:rPr>
          <w:rStyle w:val="Hyperlink"/>
          <w:b/>
          <w:bCs/>
          <w:sz w:val="36"/>
          <w:szCs w:val="36"/>
        </w:rPr>
        <w:t xml:space="preserve"> (Rule 12 tab)</w:t>
      </w:r>
      <w:r w:rsidRPr="008D46FD">
        <w:rPr>
          <w:rStyle w:val="Hyperlink"/>
          <w:b/>
          <w:bCs/>
          <w:sz w:val="36"/>
          <w:szCs w:val="36"/>
        </w:rPr>
        <w:t>.</w:t>
      </w:r>
      <w:r w:rsidRPr="008D46FD">
        <w:rPr>
          <w:rStyle w:val="Hyperlink"/>
          <w:b/>
          <w:bCs/>
          <w:sz w:val="36"/>
          <w:szCs w:val="36"/>
        </w:rPr>
        <w:fldChar w:fldCharType="end"/>
      </w:r>
    </w:p>
    <w:bookmarkEnd w:id="60"/>
    <w:bookmarkEnd w:id="61"/>
    <w:p w14:paraId="3FCF178F" w14:textId="77777777" w:rsidR="00E77B5A" w:rsidRPr="00E77B5A" w:rsidRDefault="00E77B5A" w:rsidP="00725B28">
      <w:pPr>
        <w:pStyle w:val="Heading1"/>
      </w:pPr>
      <w:r w:rsidRPr="00E77B5A">
        <w:br w:type="page"/>
      </w:r>
      <w:bookmarkStart w:id="62" w:name="_Toc128055684"/>
      <w:bookmarkStart w:id="63" w:name="_Toc137546434"/>
      <w:bookmarkStart w:id="64" w:name="_Toc168662800"/>
      <w:r w:rsidRPr="00E77B5A">
        <w:lastRenderedPageBreak/>
        <w:t>Rule 13 – Derive First Service Event Indicator</w:t>
      </w:r>
      <w:bookmarkEnd w:id="62"/>
      <w:bookmarkEnd w:id="63"/>
      <w:bookmarkEnd w:id="64"/>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1"/>
        <w:gridCol w:w="700"/>
        <w:gridCol w:w="2475"/>
        <w:gridCol w:w="2842"/>
        <w:gridCol w:w="3521"/>
        <w:gridCol w:w="2137"/>
      </w:tblGrid>
      <w:tr w:rsidR="00E77B5A" w:rsidRPr="00E77B5A" w14:paraId="72D4C7A6" w14:textId="77777777" w:rsidTr="00164159">
        <w:trPr>
          <w:trHeight w:val="540"/>
        </w:trPr>
        <w:tc>
          <w:tcPr>
            <w:tcW w:w="2071" w:type="dxa"/>
            <w:shd w:val="clear" w:color="auto" w:fill="001D47"/>
            <w:vAlign w:val="center"/>
            <w:hideMark/>
          </w:tcPr>
          <w:p w14:paraId="06C78C77" w14:textId="77777777" w:rsidR="00E77B5A" w:rsidRPr="00E77B5A" w:rsidRDefault="00E77B5A" w:rsidP="00E77B5A">
            <w:pPr>
              <w:pStyle w:val="BodyText"/>
              <w:rPr>
                <w:b/>
                <w:bCs/>
              </w:rPr>
            </w:pPr>
            <w:r w:rsidRPr="005E31C4">
              <w:rPr>
                <w:b/>
                <w:bCs/>
                <w:color w:val="FFFFFF" w:themeColor="background1"/>
                <w:sz w:val="32"/>
                <w:szCs w:val="32"/>
              </w:rPr>
              <w:t>Rule No.</w:t>
            </w:r>
          </w:p>
        </w:tc>
        <w:tc>
          <w:tcPr>
            <w:tcW w:w="700" w:type="dxa"/>
            <w:shd w:val="clear" w:color="auto" w:fill="B8E5FC"/>
            <w:vAlign w:val="center"/>
            <w:hideMark/>
          </w:tcPr>
          <w:p w14:paraId="30645798" w14:textId="77777777" w:rsidR="00E77B5A" w:rsidRPr="00E77B5A" w:rsidRDefault="00E77B5A" w:rsidP="00E77B5A">
            <w:pPr>
              <w:pStyle w:val="BodyText"/>
              <w:rPr>
                <w:b/>
                <w:bCs/>
              </w:rPr>
            </w:pPr>
            <w:r w:rsidRPr="005E31C4">
              <w:rPr>
                <w:b/>
                <w:bCs/>
                <w:sz w:val="32"/>
                <w:szCs w:val="32"/>
              </w:rPr>
              <w:t>13</w:t>
            </w:r>
          </w:p>
        </w:tc>
        <w:tc>
          <w:tcPr>
            <w:tcW w:w="2475" w:type="dxa"/>
            <w:shd w:val="clear" w:color="auto" w:fill="001D47"/>
            <w:vAlign w:val="center"/>
            <w:hideMark/>
          </w:tcPr>
          <w:p w14:paraId="14813C10" w14:textId="2E65D7CA" w:rsidR="00E77B5A" w:rsidRPr="00E77B5A" w:rsidRDefault="00AF3027" w:rsidP="00E77B5A">
            <w:pPr>
              <w:pStyle w:val="BodyText"/>
              <w:rPr>
                <w:b/>
                <w:bCs/>
              </w:rPr>
            </w:pPr>
            <w:r>
              <w:rPr>
                <w:b/>
                <w:bCs/>
                <w:color w:val="FFFFFF" w:themeColor="background1"/>
                <w:sz w:val="32"/>
                <w:szCs w:val="32"/>
              </w:rPr>
              <w:t>Business Rule</w:t>
            </w:r>
          </w:p>
        </w:tc>
        <w:tc>
          <w:tcPr>
            <w:tcW w:w="8500" w:type="dxa"/>
            <w:gridSpan w:val="3"/>
            <w:shd w:val="clear" w:color="auto" w:fill="B8E5FC"/>
            <w:vAlign w:val="center"/>
            <w:hideMark/>
          </w:tcPr>
          <w:p w14:paraId="3CE9DD1F" w14:textId="14141C67" w:rsidR="00E77B5A" w:rsidRPr="00E77B5A" w:rsidRDefault="00AF3027" w:rsidP="00E77B5A">
            <w:pPr>
              <w:pStyle w:val="BodyText"/>
              <w:rPr>
                <w:b/>
                <w:bCs/>
              </w:rPr>
            </w:pPr>
            <w:r w:rsidRPr="00E77B5A">
              <w:rPr>
                <w:bCs/>
              </w:rPr>
              <w:t>Derived First Service Event Indicator</w:t>
            </w:r>
          </w:p>
        </w:tc>
      </w:tr>
      <w:tr w:rsidR="00E77B5A" w:rsidRPr="00E77B5A" w14:paraId="103531DC" w14:textId="77777777" w:rsidTr="00164159">
        <w:trPr>
          <w:trHeight w:val="315"/>
        </w:trPr>
        <w:tc>
          <w:tcPr>
            <w:tcW w:w="2071" w:type="dxa"/>
            <w:shd w:val="clear" w:color="auto" w:fill="94DCEF"/>
            <w:vAlign w:val="center"/>
          </w:tcPr>
          <w:p w14:paraId="550915B6" w14:textId="77777777" w:rsidR="00E77B5A" w:rsidRPr="00E77B5A" w:rsidRDefault="00E77B5A" w:rsidP="00E77B5A">
            <w:pPr>
              <w:pStyle w:val="BodyText"/>
              <w:rPr>
                <w:b/>
                <w:bCs/>
              </w:rPr>
            </w:pPr>
            <w:r w:rsidRPr="00E77B5A">
              <w:rPr>
                <w:b/>
                <w:bCs/>
              </w:rPr>
              <w:t>Business Process</w:t>
            </w:r>
          </w:p>
        </w:tc>
        <w:tc>
          <w:tcPr>
            <w:tcW w:w="11675" w:type="dxa"/>
            <w:gridSpan w:val="5"/>
            <w:shd w:val="clear" w:color="auto" w:fill="auto"/>
            <w:vAlign w:val="center"/>
          </w:tcPr>
          <w:p w14:paraId="347FBD11" w14:textId="77777777" w:rsidR="00E77B5A" w:rsidRPr="007C2700" w:rsidRDefault="00E77B5A" w:rsidP="00E77B5A">
            <w:pPr>
              <w:pStyle w:val="BodyText"/>
              <w:rPr>
                <w:b/>
                <w:u w:val="single"/>
              </w:rPr>
            </w:pPr>
            <w:r w:rsidRPr="007C2700">
              <w:rPr>
                <w:b/>
                <w:u w:val="single"/>
              </w:rPr>
              <w:t>Derivation of First Service Event Indicator is dependent on the patient information system used by the reporting facility.</w:t>
            </w:r>
          </w:p>
          <w:p w14:paraId="7253BE68" w14:textId="61ACB241" w:rsidR="00164159" w:rsidRPr="00E77B5A" w:rsidRDefault="00164159" w:rsidP="00164159">
            <w:pPr>
              <w:pStyle w:val="BodyText"/>
              <w:rPr>
                <w:bCs/>
              </w:rPr>
            </w:pPr>
            <w:r w:rsidRPr="00E77B5A">
              <w:rPr>
                <w:bCs/>
              </w:rPr>
              <w:t>The First Service Event Indicator code is supplied from the Healthcare Improvement Unit’s SATr database based on the following criteria:</w:t>
            </w:r>
          </w:p>
          <w:p w14:paraId="11BC80A3" w14:textId="77777777" w:rsidR="00164159" w:rsidRPr="00E77B5A" w:rsidRDefault="00164159" w:rsidP="00164159">
            <w:pPr>
              <w:pStyle w:val="ListBullet"/>
            </w:pPr>
            <w:r w:rsidRPr="00E77B5A">
              <w:rPr>
                <w:b/>
              </w:rPr>
              <w:t>HBCIS</w:t>
            </w:r>
            <w:r w:rsidRPr="00E77B5A">
              <w:t>: For the Facility code, Referral id combination, find the earliest Appointment date/time and compare it to the Appointment date/time in the record that has been selected for inclusion in the QHNAPDC report. If the two date/times are the same, this is the first service event, i.e., set the value to ‘1’ – Yes.</w:t>
            </w:r>
          </w:p>
          <w:p w14:paraId="50507B2D" w14:textId="77777777" w:rsidR="00164159" w:rsidRPr="007C2700" w:rsidRDefault="00164159" w:rsidP="00164159">
            <w:pPr>
              <w:pStyle w:val="ListBullet"/>
              <w:rPr>
                <w:bCs/>
                <w:u w:val="single"/>
              </w:rPr>
            </w:pPr>
            <w:r w:rsidRPr="00E77B5A">
              <w:rPr>
                <w:b/>
              </w:rPr>
              <w:t>Mater</w:t>
            </w:r>
            <w:r w:rsidRPr="00E77B5A">
              <w:t>: (Logic as HBCIS)</w:t>
            </w:r>
          </w:p>
          <w:p w14:paraId="5892BBA3" w14:textId="2AC485DF" w:rsidR="00164159" w:rsidRPr="00E77B5A" w:rsidRDefault="00164159" w:rsidP="007C2700">
            <w:pPr>
              <w:pStyle w:val="ListBullet"/>
              <w:rPr>
                <w:bCs/>
                <w:u w:val="single"/>
              </w:rPr>
            </w:pPr>
            <w:r w:rsidRPr="00E77B5A">
              <w:rPr>
                <w:b/>
              </w:rPr>
              <w:t>ESM V1, 2, 3</w:t>
            </w:r>
            <w:r w:rsidRPr="00E77B5A">
              <w:t>: For each service event that has been selected for inclusion in the QHNAPDC report, check the nr_flag. If the nr_flag value is ‘N’ – New, this the first service event, i.e., set the value to ‘1’ – Yes.</w:t>
            </w:r>
          </w:p>
        </w:tc>
      </w:tr>
      <w:tr w:rsidR="00E77B5A" w:rsidRPr="00E77B5A" w14:paraId="738E1ADC" w14:textId="77777777" w:rsidTr="007C2700">
        <w:trPr>
          <w:trHeight w:val="315"/>
        </w:trPr>
        <w:tc>
          <w:tcPr>
            <w:tcW w:w="2071" w:type="dxa"/>
            <w:shd w:val="clear" w:color="auto" w:fill="94DCEF"/>
            <w:vAlign w:val="center"/>
            <w:hideMark/>
          </w:tcPr>
          <w:p w14:paraId="63C69000" w14:textId="77777777" w:rsidR="00E77B5A" w:rsidRPr="00E77B5A" w:rsidRDefault="00E77B5A" w:rsidP="00E77B5A">
            <w:pPr>
              <w:pStyle w:val="BodyText"/>
              <w:rPr>
                <w:b/>
                <w:bCs/>
              </w:rPr>
            </w:pPr>
            <w:r w:rsidRPr="00E77B5A">
              <w:rPr>
                <w:b/>
                <w:bCs/>
              </w:rPr>
              <w:t>File Format Item #</w:t>
            </w:r>
          </w:p>
        </w:tc>
        <w:tc>
          <w:tcPr>
            <w:tcW w:w="700" w:type="dxa"/>
            <w:shd w:val="clear" w:color="auto" w:fill="B8E5FC"/>
            <w:vAlign w:val="center"/>
            <w:hideMark/>
          </w:tcPr>
          <w:p w14:paraId="538F29FD" w14:textId="77777777" w:rsidR="00E77B5A" w:rsidRPr="00E77B5A" w:rsidRDefault="00E77B5A" w:rsidP="00E77B5A">
            <w:pPr>
              <w:pStyle w:val="BodyText"/>
              <w:rPr>
                <w:bCs/>
              </w:rPr>
            </w:pPr>
            <w:r w:rsidRPr="00E77B5A">
              <w:rPr>
                <w:bCs/>
              </w:rPr>
              <w:t>53</w:t>
            </w:r>
          </w:p>
        </w:tc>
        <w:tc>
          <w:tcPr>
            <w:tcW w:w="2475" w:type="dxa"/>
            <w:shd w:val="clear" w:color="auto" w:fill="94DCEF"/>
            <w:vAlign w:val="center"/>
            <w:hideMark/>
          </w:tcPr>
          <w:p w14:paraId="364AAE85" w14:textId="77777777" w:rsidR="00E77B5A" w:rsidRPr="00E77B5A" w:rsidRDefault="00E77B5A" w:rsidP="00E77B5A">
            <w:pPr>
              <w:pStyle w:val="BodyText"/>
              <w:rPr>
                <w:b/>
                <w:bCs/>
              </w:rPr>
            </w:pPr>
            <w:r w:rsidRPr="00E77B5A">
              <w:rPr>
                <w:b/>
                <w:bCs/>
              </w:rPr>
              <w:t>File Format Data Item</w:t>
            </w:r>
          </w:p>
        </w:tc>
        <w:tc>
          <w:tcPr>
            <w:tcW w:w="2842" w:type="dxa"/>
            <w:shd w:val="clear" w:color="auto" w:fill="B8E5FC"/>
            <w:vAlign w:val="center"/>
            <w:hideMark/>
          </w:tcPr>
          <w:p w14:paraId="6A15F576" w14:textId="77777777" w:rsidR="00E77B5A" w:rsidRPr="00E77B5A" w:rsidRDefault="00EC2651" w:rsidP="00E77B5A">
            <w:pPr>
              <w:pStyle w:val="BodyText"/>
            </w:pPr>
            <w:hyperlink r:id="rId41" w:history="1">
              <w:r w:rsidR="00E77B5A" w:rsidRPr="00E77B5A">
                <w:rPr>
                  <w:rStyle w:val="Hyperlink"/>
                </w:rPr>
                <w:t>First service event indicator</w:t>
              </w:r>
            </w:hyperlink>
          </w:p>
        </w:tc>
        <w:tc>
          <w:tcPr>
            <w:tcW w:w="3521" w:type="dxa"/>
            <w:shd w:val="clear" w:color="auto" w:fill="94DCEF"/>
            <w:vAlign w:val="center"/>
          </w:tcPr>
          <w:p w14:paraId="6776A534" w14:textId="77777777" w:rsidR="00E77B5A" w:rsidRPr="00E77B5A" w:rsidRDefault="00E77B5A" w:rsidP="00E77B5A">
            <w:pPr>
              <w:pStyle w:val="BodyText"/>
              <w:rPr>
                <w:bCs/>
                <w:u w:val="single"/>
              </w:rPr>
            </w:pPr>
            <w:r w:rsidRPr="00E77B5A">
              <w:rPr>
                <w:b/>
                <w:bCs/>
              </w:rPr>
              <w:t>Relevant Values in Data Domain</w:t>
            </w:r>
          </w:p>
        </w:tc>
        <w:tc>
          <w:tcPr>
            <w:tcW w:w="2137" w:type="dxa"/>
            <w:shd w:val="clear" w:color="auto" w:fill="auto"/>
            <w:vAlign w:val="center"/>
          </w:tcPr>
          <w:p w14:paraId="4DACA6F6" w14:textId="77777777" w:rsidR="00E77B5A" w:rsidRPr="00E77B5A" w:rsidRDefault="00E77B5A" w:rsidP="00E77B5A">
            <w:pPr>
              <w:pStyle w:val="BodyText"/>
              <w:rPr>
                <w:bCs/>
              </w:rPr>
            </w:pPr>
            <w:r w:rsidRPr="00E77B5A">
              <w:rPr>
                <w:bCs/>
              </w:rPr>
              <w:t>‘1’ – Yes</w:t>
            </w:r>
          </w:p>
        </w:tc>
      </w:tr>
    </w:tbl>
    <w:p w14:paraId="4827FE3A" w14:textId="77777777" w:rsidR="00E77B5A" w:rsidRPr="00E77B5A" w:rsidRDefault="00E77B5A" w:rsidP="00725B28">
      <w:pPr>
        <w:pStyle w:val="Heading1"/>
      </w:pPr>
      <w:bookmarkStart w:id="65" w:name="_Rule_14_–"/>
      <w:bookmarkEnd w:id="65"/>
      <w:r w:rsidRPr="00E77B5A">
        <w:br w:type="page"/>
      </w:r>
      <w:bookmarkStart w:id="66" w:name="_Toc128055685"/>
      <w:bookmarkStart w:id="67" w:name="_Toc137546435"/>
      <w:bookmarkStart w:id="68" w:name="_Toc168662801"/>
      <w:r w:rsidRPr="00E77B5A">
        <w:lastRenderedPageBreak/>
        <w:t>Rule 14 – Derive Multiple Health Care Provider Indicator – National Reporting</w:t>
      </w:r>
      <w:bookmarkEnd w:id="66"/>
      <w:bookmarkEnd w:id="67"/>
      <w:bookmarkEnd w:id="68"/>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567"/>
        <w:gridCol w:w="2268"/>
        <w:gridCol w:w="2977"/>
        <w:gridCol w:w="2126"/>
        <w:gridCol w:w="3838"/>
      </w:tblGrid>
      <w:tr w:rsidR="00E77B5A" w:rsidRPr="00E77B5A" w14:paraId="0FD34AE9" w14:textId="77777777" w:rsidTr="007C2700">
        <w:trPr>
          <w:trHeight w:val="540"/>
        </w:trPr>
        <w:tc>
          <w:tcPr>
            <w:tcW w:w="1970" w:type="dxa"/>
            <w:shd w:val="clear" w:color="auto" w:fill="001D47"/>
            <w:vAlign w:val="center"/>
            <w:hideMark/>
          </w:tcPr>
          <w:p w14:paraId="4150D5C8" w14:textId="77777777" w:rsidR="00E77B5A" w:rsidRPr="00E77B5A" w:rsidRDefault="00E77B5A" w:rsidP="00E77B5A">
            <w:pPr>
              <w:pStyle w:val="BodyText"/>
              <w:rPr>
                <w:b/>
                <w:bCs/>
              </w:rPr>
            </w:pPr>
            <w:r w:rsidRPr="003D6063">
              <w:rPr>
                <w:b/>
                <w:bCs/>
                <w:color w:val="FFFFFF" w:themeColor="background1"/>
                <w:sz w:val="32"/>
                <w:szCs w:val="32"/>
              </w:rPr>
              <w:t>Rule No.</w:t>
            </w:r>
          </w:p>
        </w:tc>
        <w:tc>
          <w:tcPr>
            <w:tcW w:w="567" w:type="dxa"/>
            <w:shd w:val="clear" w:color="auto" w:fill="B8E5FC"/>
            <w:vAlign w:val="center"/>
            <w:hideMark/>
          </w:tcPr>
          <w:p w14:paraId="552623E9" w14:textId="77777777" w:rsidR="00E77B5A" w:rsidRPr="00E77B5A" w:rsidRDefault="00E77B5A" w:rsidP="00E77B5A">
            <w:pPr>
              <w:pStyle w:val="BodyText"/>
              <w:rPr>
                <w:b/>
                <w:bCs/>
              </w:rPr>
            </w:pPr>
            <w:r w:rsidRPr="003D6063">
              <w:rPr>
                <w:b/>
                <w:bCs/>
                <w:sz w:val="32"/>
                <w:szCs w:val="32"/>
              </w:rPr>
              <w:t>14</w:t>
            </w:r>
          </w:p>
        </w:tc>
        <w:tc>
          <w:tcPr>
            <w:tcW w:w="2268" w:type="dxa"/>
            <w:shd w:val="clear" w:color="auto" w:fill="001D47"/>
            <w:vAlign w:val="center"/>
            <w:hideMark/>
          </w:tcPr>
          <w:p w14:paraId="333C7BB6" w14:textId="48B1B3B0" w:rsidR="00E77B5A" w:rsidRPr="00E77B5A" w:rsidRDefault="00AF3027" w:rsidP="00E77B5A">
            <w:pPr>
              <w:pStyle w:val="BodyText"/>
              <w:rPr>
                <w:b/>
                <w:bCs/>
              </w:rPr>
            </w:pPr>
            <w:r>
              <w:rPr>
                <w:b/>
                <w:bCs/>
                <w:color w:val="FFFFFF" w:themeColor="background1"/>
                <w:sz w:val="32"/>
                <w:szCs w:val="32"/>
              </w:rPr>
              <w:t>Business Rule</w:t>
            </w:r>
          </w:p>
        </w:tc>
        <w:tc>
          <w:tcPr>
            <w:tcW w:w="8941" w:type="dxa"/>
            <w:gridSpan w:val="3"/>
            <w:shd w:val="clear" w:color="auto" w:fill="B8E5FC"/>
            <w:vAlign w:val="center"/>
            <w:hideMark/>
          </w:tcPr>
          <w:p w14:paraId="3262B555" w14:textId="644736BC" w:rsidR="00E77B5A" w:rsidRPr="00E77B5A" w:rsidRDefault="00AF3027" w:rsidP="00E77B5A">
            <w:pPr>
              <w:pStyle w:val="BodyText"/>
              <w:rPr>
                <w:b/>
                <w:bCs/>
              </w:rPr>
            </w:pPr>
            <w:r w:rsidRPr="00E77B5A">
              <w:rPr>
                <w:bCs/>
              </w:rPr>
              <w:t>Derived Multiple Health Care Provider Indicator</w:t>
            </w:r>
          </w:p>
        </w:tc>
      </w:tr>
      <w:tr w:rsidR="00E77B5A" w:rsidRPr="00E77B5A" w14:paraId="6A77BECD" w14:textId="77777777" w:rsidTr="007C2700">
        <w:trPr>
          <w:trHeight w:val="315"/>
        </w:trPr>
        <w:tc>
          <w:tcPr>
            <w:tcW w:w="1970" w:type="dxa"/>
            <w:shd w:val="clear" w:color="auto" w:fill="94DCEF"/>
            <w:vAlign w:val="center"/>
          </w:tcPr>
          <w:p w14:paraId="39BA17D2" w14:textId="77777777" w:rsidR="00E77B5A" w:rsidRPr="00E77B5A" w:rsidRDefault="00E77B5A" w:rsidP="00E77B5A">
            <w:pPr>
              <w:pStyle w:val="BodyText"/>
              <w:rPr>
                <w:b/>
                <w:bCs/>
              </w:rPr>
            </w:pPr>
            <w:r w:rsidRPr="00E77B5A">
              <w:rPr>
                <w:b/>
                <w:bCs/>
              </w:rPr>
              <w:t>Business Process</w:t>
            </w:r>
          </w:p>
        </w:tc>
        <w:tc>
          <w:tcPr>
            <w:tcW w:w="11776" w:type="dxa"/>
            <w:gridSpan w:val="5"/>
            <w:shd w:val="clear" w:color="auto" w:fill="auto"/>
            <w:vAlign w:val="center"/>
          </w:tcPr>
          <w:p w14:paraId="3B0AA220" w14:textId="62842A9A" w:rsidR="00370788" w:rsidRDefault="00370788" w:rsidP="00510665">
            <w:pPr>
              <w:pStyle w:val="BodyText"/>
              <w:rPr>
                <w:bCs/>
              </w:rPr>
            </w:pPr>
            <w:r>
              <w:rPr>
                <w:bCs/>
              </w:rPr>
              <w:t xml:space="preserve">In October of 2020, </w:t>
            </w:r>
            <w:r w:rsidR="0046183E">
              <w:rPr>
                <w:bCs/>
              </w:rPr>
              <w:t xml:space="preserve">NHDISC endorsed the inclusion of two new Service Delivery Modes in </w:t>
            </w:r>
            <w:r w:rsidR="0039110A">
              <w:rPr>
                <w:bCs/>
              </w:rPr>
              <w:t>the NBEDS effective 01 July 2021</w:t>
            </w:r>
            <w:r w:rsidR="00657619">
              <w:rPr>
                <w:bCs/>
              </w:rPr>
              <w:t>.</w:t>
            </w:r>
          </w:p>
          <w:p w14:paraId="6D3AF602" w14:textId="75351C53" w:rsidR="00657619" w:rsidRDefault="00626F68" w:rsidP="00EC2651">
            <w:pPr>
              <w:pStyle w:val="BodyText"/>
              <w:numPr>
                <w:ilvl w:val="0"/>
                <w:numId w:val="22"/>
              </w:numPr>
              <w:rPr>
                <w:bCs/>
              </w:rPr>
            </w:pPr>
            <w:r>
              <w:rPr>
                <w:bCs/>
              </w:rPr>
              <w:t>‘</w:t>
            </w:r>
            <w:r w:rsidR="00657619">
              <w:rPr>
                <w:bCs/>
              </w:rPr>
              <w:t>6</w:t>
            </w:r>
            <w:r>
              <w:rPr>
                <w:bCs/>
              </w:rPr>
              <w:t>’</w:t>
            </w:r>
            <w:r w:rsidR="00657619">
              <w:rPr>
                <w:bCs/>
              </w:rPr>
              <w:t xml:space="preserve"> – Patient self-</w:t>
            </w:r>
            <w:r w:rsidR="00F4281E">
              <w:rPr>
                <w:bCs/>
              </w:rPr>
              <w:t>administered</w:t>
            </w:r>
          </w:p>
          <w:p w14:paraId="0A331EB7" w14:textId="37F68B8F" w:rsidR="00F4281E" w:rsidRDefault="00626F68" w:rsidP="00EC2651">
            <w:pPr>
              <w:pStyle w:val="BodyText"/>
              <w:numPr>
                <w:ilvl w:val="0"/>
                <w:numId w:val="22"/>
              </w:numPr>
              <w:rPr>
                <w:bCs/>
              </w:rPr>
            </w:pPr>
            <w:r>
              <w:rPr>
                <w:bCs/>
              </w:rPr>
              <w:t>‘</w:t>
            </w:r>
            <w:r w:rsidR="00F4281E">
              <w:rPr>
                <w:bCs/>
              </w:rPr>
              <w:t>7</w:t>
            </w:r>
            <w:r>
              <w:rPr>
                <w:bCs/>
              </w:rPr>
              <w:t>’</w:t>
            </w:r>
            <w:r w:rsidR="00F4281E">
              <w:rPr>
                <w:bCs/>
              </w:rPr>
              <w:t xml:space="preserve"> – Non-client event</w:t>
            </w:r>
          </w:p>
          <w:p w14:paraId="52FA8B4E" w14:textId="77259E47" w:rsidR="00370788" w:rsidRDefault="00F4281E" w:rsidP="00510665">
            <w:pPr>
              <w:pStyle w:val="BodyText"/>
              <w:rPr>
                <w:bCs/>
              </w:rPr>
            </w:pPr>
            <w:r>
              <w:rPr>
                <w:bCs/>
              </w:rPr>
              <w:t>For</w:t>
            </w:r>
            <w:r w:rsidR="00F252A1">
              <w:rPr>
                <w:bCs/>
              </w:rPr>
              <w:t xml:space="preserve"> better identification and reporting of virtual care and telemonitoring</w:t>
            </w:r>
            <w:r w:rsidR="00985D7E">
              <w:rPr>
                <w:bCs/>
              </w:rPr>
              <w:t xml:space="preserve">, Queensland Health </w:t>
            </w:r>
            <w:r w:rsidR="005B335E">
              <w:rPr>
                <w:bCs/>
              </w:rPr>
              <w:t>takes</w:t>
            </w:r>
            <w:r w:rsidR="00985D7E">
              <w:rPr>
                <w:bCs/>
              </w:rPr>
              <w:t xml:space="preserve"> the national definition for Code </w:t>
            </w:r>
            <w:r w:rsidR="00033351">
              <w:rPr>
                <w:bCs/>
              </w:rPr>
              <w:t>‘</w:t>
            </w:r>
            <w:r w:rsidR="00DE0853">
              <w:rPr>
                <w:bCs/>
              </w:rPr>
              <w:t>6</w:t>
            </w:r>
            <w:r w:rsidR="00033351">
              <w:rPr>
                <w:bCs/>
              </w:rPr>
              <w:t>’</w:t>
            </w:r>
            <w:r w:rsidR="00DE0853">
              <w:rPr>
                <w:bCs/>
              </w:rPr>
              <w:t xml:space="preserve"> </w:t>
            </w:r>
            <w:r w:rsidR="00033351">
              <w:rPr>
                <w:bCs/>
              </w:rPr>
              <w:t xml:space="preserve">– </w:t>
            </w:r>
            <w:r w:rsidR="00DE0853">
              <w:rPr>
                <w:bCs/>
              </w:rPr>
              <w:t>Patient</w:t>
            </w:r>
            <w:r w:rsidR="00626F68">
              <w:rPr>
                <w:bCs/>
              </w:rPr>
              <w:t xml:space="preserve"> </w:t>
            </w:r>
            <w:r w:rsidR="00DE0853">
              <w:rPr>
                <w:bCs/>
              </w:rPr>
              <w:t>self-administered and implement</w:t>
            </w:r>
            <w:r w:rsidR="00DA2339">
              <w:rPr>
                <w:bCs/>
              </w:rPr>
              <w:t>s</w:t>
            </w:r>
            <w:r w:rsidR="00DE0853">
              <w:rPr>
                <w:bCs/>
              </w:rPr>
              <w:t xml:space="preserve"> it as two </w:t>
            </w:r>
            <w:r w:rsidR="00DA2339">
              <w:rPr>
                <w:bCs/>
              </w:rPr>
              <w:t>separate data codes. These two codes</w:t>
            </w:r>
            <w:r w:rsidR="0074270E">
              <w:rPr>
                <w:bCs/>
              </w:rPr>
              <w:t xml:space="preserve"> </w:t>
            </w:r>
            <w:r w:rsidR="00AD51F7">
              <w:rPr>
                <w:bCs/>
              </w:rPr>
              <w:t>enable</w:t>
            </w:r>
            <w:r w:rsidR="0074270E">
              <w:rPr>
                <w:bCs/>
              </w:rPr>
              <w:t xml:space="preserve"> the separation of home delivered procedure service events and telemonitoring events which do not meet the service event definition.</w:t>
            </w:r>
          </w:p>
          <w:p w14:paraId="68BFB5C5" w14:textId="07E92BEB" w:rsidR="00033351" w:rsidRDefault="004B2610" w:rsidP="00510665">
            <w:pPr>
              <w:pStyle w:val="BodyText"/>
              <w:rPr>
                <w:bCs/>
              </w:rPr>
            </w:pPr>
            <w:r>
              <w:rPr>
                <w:bCs/>
              </w:rPr>
              <w:t>T</w:t>
            </w:r>
            <w:r w:rsidR="00007809" w:rsidRPr="00EC2651">
              <w:rPr>
                <w:bCs/>
              </w:rPr>
              <w:t>he Australian Institute of Health and Welfare (AIHW)</w:t>
            </w:r>
            <w:r>
              <w:rPr>
                <w:bCs/>
              </w:rPr>
              <w:t xml:space="preserve"> and Queensland codes match 1:1 for the data element </w:t>
            </w:r>
            <w:hyperlink r:id="rId42" w:history="1">
              <w:r w:rsidRPr="00E77B5A">
                <w:rPr>
                  <w:rStyle w:val="Hyperlink"/>
                </w:rPr>
                <w:t>Multiple healthcare provider indicator</w:t>
              </w:r>
            </w:hyperlink>
            <w:r w:rsidRPr="00EC2651">
              <w:rPr>
                <w:bCs/>
              </w:rPr>
              <w:t>, i.e.:</w:t>
            </w:r>
            <w:r w:rsidR="00033351">
              <w:rPr>
                <w:bCs/>
              </w:rPr>
              <w:t xml:space="preserve"> </w:t>
            </w:r>
          </w:p>
          <w:p w14:paraId="1AED4380" w14:textId="179A6CF6" w:rsidR="004B2610" w:rsidRPr="004B2610" w:rsidRDefault="004B2610" w:rsidP="00EC2651">
            <w:pPr>
              <w:pStyle w:val="BodyText"/>
              <w:numPr>
                <w:ilvl w:val="0"/>
                <w:numId w:val="22"/>
              </w:numPr>
              <w:rPr>
                <w:bCs/>
              </w:rPr>
            </w:pPr>
            <w:r>
              <w:rPr>
                <w:bCs/>
              </w:rPr>
              <w:t xml:space="preserve">Qld </w:t>
            </w:r>
            <w:r w:rsidRPr="004B2610">
              <w:rPr>
                <w:bCs/>
              </w:rPr>
              <w:t xml:space="preserve">Code </w:t>
            </w:r>
            <w:r w:rsidR="00FB6A71">
              <w:rPr>
                <w:bCs/>
              </w:rPr>
              <w:t>‘</w:t>
            </w:r>
            <w:r w:rsidRPr="004B2610">
              <w:rPr>
                <w:bCs/>
              </w:rPr>
              <w:t>1</w:t>
            </w:r>
            <w:r w:rsidR="00FB6A71">
              <w:rPr>
                <w:bCs/>
              </w:rPr>
              <w:t>’</w:t>
            </w:r>
            <w:r w:rsidRPr="004B2610">
              <w:rPr>
                <w:bCs/>
              </w:rPr>
              <w:t xml:space="preserve"> </w:t>
            </w:r>
            <w:r w:rsidR="00FB6A71">
              <w:rPr>
                <w:bCs/>
              </w:rPr>
              <w:t xml:space="preserve">– </w:t>
            </w:r>
            <w:r w:rsidRPr="004B2610">
              <w:rPr>
                <w:bCs/>
              </w:rPr>
              <w:t>Yes</w:t>
            </w:r>
            <w:r w:rsidR="00FB6A71">
              <w:rPr>
                <w:bCs/>
              </w:rPr>
              <w:t xml:space="preserve"> </w:t>
            </w:r>
            <w:r w:rsidRPr="004B2610">
              <w:rPr>
                <w:bCs/>
              </w:rPr>
              <w:t xml:space="preserve">is mapped to </w:t>
            </w:r>
            <w:r>
              <w:rPr>
                <w:bCs/>
              </w:rPr>
              <w:t xml:space="preserve">AIHW </w:t>
            </w:r>
            <w:r w:rsidRPr="004B2610">
              <w:rPr>
                <w:bCs/>
              </w:rPr>
              <w:t xml:space="preserve">code </w:t>
            </w:r>
            <w:r w:rsidR="00FB6A71">
              <w:rPr>
                <w:bCs/>
              </w:rPr>
              <w:t>‘</w:t>
            </w:r>
            <w:r w:rsidRPr="004B2610">
              <w:rPr>
                <w:bCs/>
              </w:rPr>
              <w:t>1</w:t>
            </w:r>
            <w:r w:rsidR="00FB6A71">
              <w:rPr>
                <w:bCs/>
              </w:rPr>
              <w:t>’ –</w:t>
            </w:r>
            <w:r w:rsidRPr="004B2610">
              <w:rPr>
                <w:bCs/>
              </w:rPr>
              <w:t xml:space="preserve"> Yes</w:t>
            </w:r>
          </w:p>
          <w:p w14:paraId="1B4341F8" w14:textId="2C0A5CB4" w:rsidR="004B2610" w:rsidRDefault="004B2610" w:rsidP="00EC2651">
            <w:pPr>
              <w:pStyle w:val="BodyText"/>
              <w:numPr>
                <w:ilvl w:val="0"/>
                <w:numId w:val="22"/>
              </w:numPr>
              <w:rPr>
                <w:bCs/>
              </w:rPr>
            </w:pPr>
            <w:r>
              <w:rPr>
                <w:bCs/>
              </w:rPr>
              <w:t xml:space="preserve">Qld </w:t>
            </w:r>
            <w:r w:rsidRPr="004B2610">
              <w:rPr>
                <w:bCs/>
              </w:rPr>
              <w:t xml:space="preserve">Code </w:t>
            </w:r>
            <w:r w:rsidR="00FB6A71">
              <w:rPr>
                <w:bCs/>
              </w:rPr>
              <w:t>‘</w:t>
            </w:r>
            <w:r w:rsidRPr="004B2610">
              <w:rPr>
                <w:bCs/>
              </w:rPr>
              <w:t>2</w:t>
            </w:r>
            <w:r w:rsidR="00FB6A71">
              <w:rPr>
                <w:bCs/>
              </w:rPr>
              <w:t xml:space="preserve">’ – </w:t>
            </w:r>
            <w:r w:rsidRPr="004B2610">
              <w:rPr>
                <w:bCs/>
              </w:rPr>
              <w:t xml:space="preserve">No is mapped to </w:t>
            </w:r>
            <w:r>
              <w:rPr>
                <w:bCs/>
              </w:rPr>
              <w:t xml:space="preserve">AIHW </w:t>
            </w:r>
            <w:r w:rsidRPr="004B2610">
              <w:rPr>
                <w:bCs/>
              </w:rPr>
              <w:t xml:space="preserve">code </w:t>
            </w:r>
            <w:r w:rsidR="00FB6A71">
              <w:rPr>
                <w:bCs/>
              </w:rPr>
              <w:t>‘</w:t>
            </w:r>
            <w:r w:rsidRPr="004B2610">
              <w:rPr>
                <w:bCs/>
              </w:rPr>
              <w:t>2</w:t>
            </w:r>
            <w:r w:rsidR="00FB6A71">
              <w:rPr>
                <w:bCs/>
              </w:rPr>
              <w:t>’ –</w:t>
            </w:r>
            <w:r w:rsidRPr="004B2610">
              <w:rPr>
                <w:bCs/>
              </w:rPr>
              <w:t xml:space="preserve"> No</w:t>
            </w:r>
          </w:p>
          <w:p w14:paraId="42AE4283" w14:textId="7803FB7B" w:rsidR="004B2610" w:rsidRPr="00705709" w:rsidRDefault="004B2610" w:rsidP="00EC2651">
            <w:pPr>
              <w:pStyle w:val="BodyText"/>
              <w:numPr>
                <w:ilvl w:val="0"/>
                <w:numId w:val="22"/>
              </w:numPr>
              <w:rPr>
                <w:bCs/>
              </w:rPr>
            </w:pPr>
            <w:r>
              <w:rPr>
                <w:bCs/>
              </w:rPr>
              <w:t xml:space="preserve">Qld </w:t>
            </w:r>
            <w:r w:rsidRPr="004B2610">
              <w:rPr>
                <w:bCs/>
              </w:rPr>
              <w:t xml:space="preserve">Code </w:t>
            </w:r>
            <w:r w:rsidR="00FB6A71">
              <w:rPr>
                <w:bCs/>
              </w:rPr>
              <w:t>‘</w:t>
            </w:r>
            <w:r w:rsidRPr="004B2610">
              <w:rPr>
                <w:bCs/>
              </w:rPr>
              <w:t>9</w:t>
            </w:r>
            <w:r w:rsidR="00FB6A71">
              <w:rPr>
                <w:bCs/>
              </w:rPr>
              <w:t>’ –</w:t>
            </w:r>
            <w:r w:rsidRPr="004B2610">
              <w:rPr>
                <w:bCs/>
              </w:rPr>
              <w:t xml:space="preserve"> Not stated/inadequately described is mapped to </w:t>
            </w:r>
            <w:r>
              <w:rPr>
                <w:bCs/>
              </w:rPr>
              <w:t xml:space="preserve">AIHW </w:t>
            </w:r>
            <w:r w:rsidRPr="004B2610">
              <w:rPr>
                <w:bCs/>
              </w:rPr>
              <w:t xml:space="preserve">code </w:t>
            </w:r>
            <w:r w:rsidR="00FB6A71">
              <w:rPr>
                <w:bCs/>
              </w:rPr>
              <w:t>‘</w:t>
            </w:r>
            <w:r w:rsidRPr="004B2610">
              <w:rPr>
                <w:bCs/>
              </w:rPr>
              <w:t>9</w:t>
            </w:r>
            <w:r w:rsidR="00FB6A71">
              <w:rPr>
                <w:bCs/>
              </w:rPr>
              <w:t>’ –</w:t>
            </w:r>
            <w:r w:rsidRPr="004B2610">
              <w:rPr>
                <w:bCs/>
              </w:rPr>
              <w:t xml:space="preserve"> Not stated/inadequately described</w:t>
            </w:r>
          </w:p>
          <w:p w14:paraId="07B98F3D" w14:textId="767472E5" w:rsidR="004B2610" w:rsidRPr="004B2610" w:rsidRDefault="004B2610" w:rsidP="004B2610">
            <w:pPr>
              <w:pStyle w:val="BodyText"/>
              <w:rPr>
                <w:bCs/>
              </w:rPr>
            </w:pPr>
            <w:r>
              <w:rPr>
                <w:bCs/>
              </w:rPr>
              <w:t xml:space="preserve">The AIHW data element has an additional code </w:t>
            </w:r>
            <w:r w:rsidR="00FB6A71" w:rsidRPr="00EC2651">
              <w:rPr>
                <w:b/>
              </w:rPr>
              <w:t>‘</w:t>
            </w:r>
            <w:r w:rsidRPr="00EC2651">
              <w:rPr>
                <w:b/>
              </w:rPr>
              <w:t>7</w:t>
            </w:r>
            <w:r w:rsidR="00FB6A71" w:rsidRPr="00EC2651">
              <w:rPr>
                <w:b/>
              </w:rPr>
              <w:t>’</w:t>
            </w:r>
            <w:r w:rsidRPr="00EC2651">
              <w:rPr>
                <w:b/>
              </w:rPr>
              <w:t xml:space="preserve"> </w:t>
            </w:r>
            <w:r w:rsidR="00FB6A71" w:rsidRPr="00EC2651">
              <w:rPr>
                <w:b/>
              </w:rPr>
              <w:t xml:space="preserve">– </w:t>
            </w:r>
            <w:r w:rsidR="00D951C8" w:rsidRPr="00EC2651">
              <w:rPr>
                <w:b/>
              </w:rPr>
              <w:t>Not</w:t>
            </w:r>
            <w:r w:rsidR="00FB6A71" w:rsidRPr="00EC2651">
              <w:rPr>
                <w:b/>
              </w:rPr>
              <w:t xml:space="preserve"> </w:t>
            </w:r>
            <w:r w:rsidR="00D951C8" w:rsidRPr="00EC2651">
              <w:rPr>
                <w:b/>
              </w:rPr>
              <w:t>applicable</w:t>
            </w:r>
            <w:r>
              <w:rPr>
                <w:bCs/>
              </w:rPr>
              <w:t xml:space="preserve">.  </w:t>
            </w:r>
          </w:p>
          <w:p w14:paraId="07C6C5E8" w14:textId="059177EA" w:rsidR="004B2610" w:rsidRDefault="003A2BE8" w:rsidP="004B2610">
            <w:pPr>
              <w:pStyle w:val="BodyText"/>
              <w:rPr>
                <w:bCs/>
              </w:rPr>
            </w:pPr>
            <w:r w:rsidRPr="00E77B5A">
              <w:rPr>
                <w:bCs/>
              </w:rPr>
              <w:t xml:space="preserve">Statistical Services Branch </w:t>
            </w:r>
            <w:r w:rsidR="00D951C8">
              <w:rPr>
                <w:bCs/>
              </w:rPr>
              <w:t xml:space="preserve">will </w:t>
            </w:r>
            <w:r w:rsidR="00D951C8" w:rsidRPr="00EC2651">
              <w:rPr>
                <w:b/>
              </w:rPr>
              <w:t>derive</w:t>
            </w:r>
            <w:r w:rsidR="00D951C8">
              <w:rPr>
                <w:bCs/>
              </w:rPr>
              <w:t xml:space="preserve"> AIHW </w:t>
            </w:r>
            <w:r w:rsidR="004B2610" w:rsidRPr="004B2610">
              <w:rPr>
                <w:bCs/>
              </w:rPr>
              <w:t xml:space="preserve">Code </w:t>
            </w:r>
            <w:r w:rsidR="00FB6A71">
              <w:rPr>
                <w:bCs/>
              </w:rPr>
              <w:t>‘</w:t>
            </w:r>
            <w:r w:rsidR="004B2610" w:rsidRPr="004B2610">
              <w:rPr>
                <w:bCs/>
              </w:rPr>
              <w:t>7</w:t>
            </w:r>
            <w:r w:rsidR="00FB6A71">
              <w:rPr>
                <w:bCs/>
              </w:rPr>
              <w:t>’</w:t>
            </w:r>
            <w:r w:rsidR="004B2610" w:rsidRPr="004B2610">
              <w:rPr>
                <w:bCs/>
              </w:rPr>
              <w:t xml:space="preserve"> </w:t>
            </w:r>
            <w:r w:rsidR="00FB6A71">
              <w:rPr>
                <w:bCs/>
              </w:rPr>
              <w:t xml:space="preserve">– </w:t>
            </w:r>
            <w:r w:rsidR="004B2610" w:rsidRPr="004B2610">
              <w:rPr>
                <w:bCs/>
              </w:rPr>
              <w:t xml:space="preserve">Not applicable </w:t>
            </w:r>
            <w:r w:rsidR="00F77D27">
              <w:rPr>
                <w:bCs/>
              </w:rPr>
              <w:t>when reporting</w:t>
            </w:r>
            <w:r w:rsidR="004B2610" w:rsidRPr="004B2610">
              <w:rPr>
                <w:bCs/>
              </w:rPr>
              <w:t xml:space="preserve"> </w:t>
            </w:r>
            <w:r w:rsidR="00F77D27">
              <w:rPr>
                <w:bCs/>
              </w:rPr>
              <w:t xml:space="preserve">non-admitted patient service event </w:t>
            </w:r>
            <w:r w:rsidR="004B2610" w:rsidRPr="004B2610">
              <w:rPr>
                <w:bCs/>
              </w:rPr>
              <w:t>records</w:t>
            </w:r>
            <w:r w:rsidR="004B2610">
              <w:rPr>
                <w:bCs/>
              </w:rPr>
              <w:t xml:space="preserve"> </w:t>
            </w:r>
            <w:r w:rsidR="004B2610" w:rsidRPr="004B2610">
              <w:rPr>
                <w:bCs/>
              </w:rPr>
              <w:t>where</w:t>
            </w:r>
            <w:r w:rsidR="004B2610">
              <w:rPr>
                <w:bCs/>
              </w:rPr>
              <w:t>:</w:t>
            </w:r>
          </w:p>
          <w:p w14:paraId="305EF1C6" w14:textId="0FB470E7" w:rsidR="00D951C8" w:rsidRDefault="004B2610" w:rsidP="00891F1F">
            <w:pPr>
              <w:pStyle w:val="BodyText"/>
              <w:numPr>
                <w:ilvl w:val="0"/>
                <w:numId w:val="23"/>
              </w:numPr>
              <w:rPr>
                <w:bCs/>
              </w:rPr>
            </w:pPr>
            <w:r w:rsidRPr="00D951C8">
              <w:rPr>
                <w:bCs/>
              </w:rPr>
              <w:t xml:space="preserve">the </w:t>
            </w:r>
            <w:hyperlink r:id="rId43" w:history="1">
              <w:r w:rsidR="00FB6A71" w:rsidRPr="00E77B5A">
                <w:rPr>
                  <w:rStyle w:val="Hyperlink"/>
                </w:rPr>
                <w:t>Patient not present indicator</w:t>
              </w:r>
            </w:hyperlink>
            <w:r w:rsidRPr="00D951C8">
              <w:rPr>
                <w:bCs/>
              </w:rPr>
              <w:t xml:space="preserve"> is code </w:t>
            </w:r>
            <w:r w:rsidR="00FB6A71">
              <w:rPr>
                <w:bCs/>
              </w:rPr>
              <w:t>‘</w:t>
            </w:r>
            <w:r w:rsidRPr="00D951C8">
              <w:rPr>
                <w:bCs/>
              </w:rPr>
              <w:t>1</w:t>
            </w:r>
            <w:r w:rsidR="00FB6A71">
              <w:rPr>
                <w:bCs/>
              </w:rPr>
              <w:t>’</w:t>
            </w:r>
            <w:r w:rsidRPr="00D951C8">
              <w:rPr>
                <w:bCs/>
              </w:rPr>
              <w:t xml:space="preserve"> </w:t>
            </w:r>
            <w:r w:rsidR="00FB6A71">
              <w:rPr>
                <w:bCs/>
              </w:rPr>
              <w:t xml:space="preserve">– </w:t>
            </w:r>
            <w:r w:rsidRPr="00D951C8">
              <w:rPr>
                <w:bCs/>
              </w:rPr>
              <w:t>Yes,</w:t>
            </w:r>
            <w:r w:rsidR="00D951C8">
              <w:rPr>
                <w:bCs/>
              </w:rPr>
              <w:t xml:space="preserve"> and</w:t>
            </w:r>
          </w:p>
          <w:p w14:paraId="035483C9" w14:textId="6374597F" w:rsidR="00D951C8" w:rsidRDefault="004B2610" w:rsidP="00A34915">
            <w:pPr>
              <w:pStyle w:val="BodyText"/>
              <w:numPr>
                <w:ilvl w:val="0"/>
                <w:numId w:val="23"/>
              </w:numPr>
              <w:rPr>
                <w:bCs/>
              </w:rPr>
            </w:pPr>
            <w:r w:rsidRPr="00D951C8">
              <w:rPr>
                <w:bCs/>
              </w:rPr>
              <w:t xml:space="preserve">the </w:t>
            </w:r>
            <w:hyperlink r:id="rId44" w:history="1">
              <w:r w:rsidR="00EF0574" w:rsidRPr="00E77B5A">
                <w:rPr>
                  <w:rStyle w:val="Hyperlink"/>
                </w:rPr>
                <w:t>Multiple healthcare provider indicator</w:t>
              </w:r>
            </w:hyperlink>
            <w:r w:rsidRPr="00D951C8">
              <w:rPr>
                <w:bCs/>
              </w:rPr>
              <w:t xml:space="preserve"> is code </w:t>
            </w:r>
            <w:r w:rsidR="00EF0574">
              <w:rPr>
                <w:bCs/>
              </w:rPr>
              <w:t>‘</w:t>
            </w:r>
            <w:r w:rsidR="00EF0574" w:rsidRPr="00D951C8">
              <w:rPr>
                <w:bCs/>
              </w:rPr>
              <w:t>1</w:t>
            </w:r>
            <w:r w:rsidR="00EF0574">
              <w:rPr>
                <w:bCs/>
              </w:rPr>
              <w:t>’</w:t>
            </w:r>
            <w:r w:rsidR="00EF0574" w:rsidRPr="00D951C8">
              <w:rPr>
                <w:bCs/>
              </w:rPr>
              <w:t xml:space="preserve"> </w:t>
            </w:r>
            <w:r w:rsidR="00EF0574">
              <w:rPr>
                <w:bCs/>
              </w:rPr>
              <w:t xml:space="preserve">– </w:t>
            </w:r>
            <w:r w:rsidR="00EF0574" w:rsidRPr="00D951C8">
              <w:rPr>
                <w:bCs/>
              </w:rPr>
              <w:t>Yes</w:t>
            </w:r>
            <w:r w:rsidR="00D951C8" w:rsidRPr="00D951C8">
              <w:rPr>
                <w:bCs/>
              </w:rPr>
              <w:t>,</w:t>
            </w:r>
            <w:r w:rsidRPr="00D951C8">
              <w:rPr>
                <w:bCs/>
              </w:rPr>
              <w:t xml:space="preserve"> and</w:t>
            </w:r>
          </w:p>
          <w:p w14:paraId="15CA3D07" w14:textId="55D75996" w:rsidR="004B2610" w:rsidRPr="00D951C8" w:rsidRDefault="004B2610" w:rsidP="00EC2651">
            <w:pPr>
              <w:pStyle w:val="BodyText"/>
              <w:numPr>
                <w:ilvl w:val="0"/>
                <w:numId w:val="23"/>
              </w:numPr>
              <w:rPr>
                <w:bCs/>
              </w:rPr>
            </w:pPr>
            <w:r w:rsidRPr="00D951C8">
              <w:rPr>
                <w:bCs/>
              </w:rPr>
              <w:lastRenderedPageBreak/>
              <w:t xml:space="preserve">the </w:t>
            </w:r>
            <w:hyperlink r:id="rId45" w:history="1">
              <w:r w:rsidR="00EF0574" w:rsidRPr="00E77B5A">
                <w:rPr>
                  <w:rStyle w:val="Hyperlink"/>
                </w:rPr>
                <w:t>Corporate clinic code</w:t>
              </w:r>
            </w:hyperlink>
            <w:r w:rsidRPr="00D951C8">
              <w:rPr>
                <w:bCs/>
              </w:rPr>
              <w:t xml:space="preserve"> (CCC) is not for a home based procedure</w:t>
            </w:r>
            <w:r w:rsidR="00EF0574">
              <w:rPr>
                <w:bCs/>
              </w:rPr>
              <w:t>;</w:t>
            </w:r>
          </w:p>
          <w:p w14:paraId="69F771E0" w14:textId="77777777" w:rsidR="00EF0574" w:rsidRDefault="004B2610" w:rsidP="004B2610">
            <w:pPr>
              <w:pStyle w:val="BodyText"/>
              <w:rPr>
                <w:bCs/>
              </w:rPr>
            </w:pPr>
            <w:r w:rsidRPr="00EC2651">
              <w:rPr>
                <w:b/>
              </w:rPr>
              <w:t>or</w:t>
            </w:r>
            <w:r w:rsidR="00EF0574" w:rsidRPr="00EF0574">
              <w:rPr>
                <w:b/>
              </w:rPr>
              <w:t xml:space="preserve"> </w:t>
            </w:r>
            <w:r w:rsidRPr="00EC2651">
              <w:rPr>
                <w:b/>
              </w:rPr>
              <w:t>where</w:t>
            </w:r>
            <w:r w:rsidRPr="004B2610">
              <w:rPr>
                <w:bCs/>
              </w:rPr>
              <w:t xml:space="preserve"> </w:t>
            </w:r>
          </w:p>
          <w:p w14:paraId="2F7E8D3A" w14:textId="77777777" w:rsidR="00EF0574" w:rsidRDefault="004B2610" w:rsidP="004509D5">
            <w:pPr>
              <w:pStyle w:val="BodyText"/>
              <w:numPr>
                <w:ilvl w:val="0"/>
                <w:numId w:val="24"/>
              </w:numPr>
              <w:rPr>
                <w:bCs/>
              </w:rPr>
            </w:pPr>
            <w:r w:rsidRPr="00EF0574">
              <w:rPr>
                <w:bCs/>
              </w:rPr>
              <w:t xml:space="preserve">the </w:t>
            </w:r>
            <w:hyperlink r:id="rId46" w:history="1">
              <w:r w:rsidR="00EF0574" w:rsidRPr="00E77B5A">
                <w:rPr>
                  <w:rStyle w:val="Hyperlink"/>
                </w:rPr>
                <w:t>Patient not present indicator</w:t>
              </w:r>
            </w:hyperlink>
            <w:r w:rsidRPr="00EF0574">
              <w:rPr>
                <w:bCs/>
              </w:rPr>
              <w:t xml:space="preserve"> is blank,</w:t>
            </w:r>
            <w:r w:rsidR="00EF0574" w:rsidRPr="00EF0574">
              <w:rPr>
                <w:bCs/>
              </w:rPr>
              <w:t xml:space="preserve"> and</w:t>
            </w:r>
          </w:p>
          <w:p w14:paraId="777A0D22" w14:textId="77777777" w:rsidR="00EF0574" w:rsidRDefault="004B2610" w:rsidP="009332C5">
            <w:pPr>
              <w:pStyle w:val="BodyText"/>
              <w:numPr>
                <w:ilvl w:val="0"/>
                <w:numId w:val="24"/>
              </w:numPr>
              <w:rPr>
                <w:bCs/>
              </w:rPr>
            </w:pPr>
            <w:r w:rsidRPr="00EF0574">
              <w:rPr>
                <w:bCs/>
              </w:rPr>
              <w:t xml:space="preserve">the </w:t>
            </w:r>
            <w:hyperlink r:id="rId47" w:history="1">
              <w:r w:rsidR="00EF0574" w:rsidRPr="00E77B5A">
                <w:rPr>
                  <w:rStyle w:val="Hyperlink"/>
                </w:rPr>
                <w:t>Corporate clinic code</w:t>
              </w:r>
            </w:hyperlink>
            <w:r w:rsidRPr="00EF0574">
              <w:rPr>
                <w:bCs/>
              </w:rPr>
              <w:t xml:space="preserve"> (CCC) is for a home based procedure,</w:t>
            </w:r>
            <w:r w:rsidR="00EF0574" w:rsidRPr="00EF0574">
              <w:rPr>
                <w:bCs/>
              </w:rPr>
              <w:t xml:space="preserve"> and</w:t>
            </w:r>
          </w:p>
          <w:p w14:paraId="1F6F740A" w14:textId="77777777" w:rsidR="00EF0574" w:rsidRDefault="004B2610" w:rsidP="002220C7">
            <w:pPr>
              <w:pStyle w:val="BodyText"/>
              <w:numPr>
                <w:ilvl w:val="0"/>
                <w:numId w:val="24"/>
              </w:numPr>
              <w:rPr>
                <w:bCs/>
              </w:rPr>
            </w:pPr>
            <w:r w:rsidRPr="00EF0574">
              <w:rPr>
                <w:bCs/>
              </w:rPr>
              <w:t xml:space="preserve">the </w:t>
            </w:r>
            <w:hyperlink r:id="rId48" w:history="1">
              <w:r w:rsidR="00EF0574" w:rsidRPr="00E77B5A">
                <w:rPr>
                  <w:rStyle w:val="Hyperlink"/>
                </w:rPr>
                <w:t>Service delivery mode</w:t>
              </w:r>
            </w:hyperlink>
            <w:r w:rsidRPr="00EF0574">
              <w:rPr>
                <w:bCs/>
              </w:rPr>
              <w:t xml:space="preserve"> is code </w:t>
            </w:r>
            <w:r w:rsidR="00EF0574" w:rsidRPr="00EF0574">
              <w:rPr>
                <w:bCs/>
              </w:rPr>
              <w:t>‘</w:t>
            </w:r>
            <w:r w:rsidRPr="00EF0574">
              <w:rPr>
                <w:bCs/>
              </w:rPr>
              <w:t>9</w:t>
            </w:r>
            <w:r w:rsidR="00EF0574" w:rsidRPr="00EF0574">
              <w:rPr>
                <w:bCs/>
              </w:rPr>
              <w:t>’</w:t>
            </w:r>
            <w:r w:rsidRPr="00EF0574">
              <w:rPr>
                <w:bCs/>
              </w:rPr>
              <w:t xml:space="preserve"> </w:t>
            </w:r>
            <w:r w:rsidR="00EF0574" w:rsidRPr="00EF0574">
              <w:rPr>
                <w:bCs/>
              </w:rPr>
              <w:t xml:space="preserve">– </w:t>
            </w:r>
            <w:r w:rsidRPr="00EF0574">
              <w:rPr>
                <w:bCs/>
              </w:rPr>
              <w:t xml:space="preserve">Patient self-administered </w:t>
            </w:r>
            <w:r w:rsidR="00EF0574" w:rsidRPr="00EF0574">
              <w:rPr>
                <w:bCs/>
              </w:rPr>
              <w:t>–</w:t>
            </w:r>
            <w:r w:rsidRPr="00EF0574">
              <w:rPr>
                <w:bCs/>
              </w:rPr>
              <w:t xml:space="preserve"> other</w:t>
            </w:r>
            <w:r w:rsidR="00EF0574" w:rsidRPr="00EF0574">
              <w:rPr>
                <w:bCs/>
              </w:rPr>
              <w:t>,</w:t>
            </w:r>
            <w:r w:rsidRPr="00EF0574">
              <w:rPr>
                <w:bCs/>
              </w:rPr>
              <w:t xml:space="preserve"> and</w:t>
            </w:r>
          </w:p>
          <w:p w14:paraId="528672DB" w14:textId="645A15EE" w:rsidR="004B2610" w:rsidRPr="00EF0574" w:rsidRDefault="004B2610" w:rsidP="00EC2651">
            <w:pPr>
              <w:pStyle w:val="BodyText"/>
              <w:numPr>
                <w:ilvl w:val="0"/>
                <w:numId w:val="24"/>
              </w:numPr>
              <w:rPr>
                <w:bCs/>
              </w:rPr>
            </w:pPr>
            <w:r w:rsidRPr="00EF0574">
              <w:rPr>
                <w:bCs/>
              </w:rPr>
              <w:t xml:space="preserve">the </w:t>
            </w:r>
            <w:hyperlink r:id="rId49" w:history="1">
              <w:r w:rsidR="00EF0574" w:rsidRPr="00EF0574">
                <w:rPr>
                  <w:rStyle w:val="Hyperlink"/>
                  <w:bCs/>
                </w:rPr>
                <w:t>P</w:t>
              </w:r>
              <w:r w:rsidRPr="00EF0574">
                <w:rPr>
                  <w:rStyle w:val="Hyperlink"/>
                  <w:bCs/>
                </w:rPr>
                <w:t>rovider type</w:t>
              </w:r>
            </w:hyperlink>
            <w:r w:rsidRPr="00EF0574">
              <w:rPr>
                <w:bCs/>
              </w:rPr>
              <w:t xml:space="preserve"> is code </w:t>
            </w:r>
            <w:r w:rsidR="00EF0574">
              <w:rPr>
                <w:bCs/>
              </w:rPr>
              <w:t>‘</w:t>
            </w:r>
            <w:r w:rsidRPr="00EF0574">
              <w:rPr>
                <w:bCs/>
              </w:rPr>
              <w:t>77777777</w:t>
            </w:r>
            <w:r w:rsidR="00EF0574">
              <w:rPr>
                <w:bCs/>
              </w:rPr>
              <w:t>’ –</w:t>
            </w:r>
            <w:r w:rsidRPr="00EF0574">
              <w:rPr>
                <w:bCs/>
              </w:rPr>
              <w:t xml:space="preserve"> Non-clinical/home provider</w:t>
            </w:r>
            <w:r w:rsidR="00EF0574">
              <w:rPr>
                <w:bCs/>
              </w:rPr>
              <w:t>;</w:t>
            </w:r>
          </w:p>
          <w:p w14:paraId="0ED57978" w14:textId="77777777" w:rsidR="00EF0574" w:rsidRDefault="004B2610" w:rsidP="004B2610">
            <w:pPr>
              <w:pStyle w:val="BodyText"/>
              <w:rPr>
                <w:bCs/>
              </w:rPr>
            </w:pPr>
            <w:r w:rsidRPr="00EC2651">
              <w:rPr>
                <w:b/>
              </w:rPr>
              <w:t>or</w:t>
            </w:r>
            <w:r w:rsidR="00EF0574" w:rsidRPr="00EC2651">
              <w:rPr>
                <w:b/>
              </w:rPr>
              <w:t xml:space="preserve"> </w:t>
            </w:r>
            <w:r w:rsidRPr="00EC2651">
              <w:rPr>
                <w:b/>
              </w:rPr>
              <w:t>where</w:t>
            </w:r>
            <w:r w:rsidRPr="004B2610">
              <w:rPr>
                <w:bCs/>
              </w:rPr>
              <w:t xml:space="preserve"> </w:t>
            </w:r>
          </w:p>
          <w:p w14:paraId="13BA19E2" w14:textId="77777777" w:rsidR="001571B0" w:rsidRDefault="004B2610" w:rsidP="0087163A">
            <w:pPr>
              <w:pStyle w:val="BodyText"/>
              <w:numPr>
                <w:ilvl w:val="0"/>
                <w:numId w:val="25"/>
              </w:numPr>
              <w:rPr>
                <w:bCs/>
              </w:rPr>
            </w:pPr>
            <w:r w:rsidRPr="001571B0">
              <w:rPr>
                <w:bCs/>
              </w:rPr>
              <w:t xml:space="preserve">the </w:t>
            </w:r>
            <w:hyperlink r:id="rId50" w:history="1">
              <w:r w:rsidR="001571B0" w:rsidRPr="00E77B5A">
                <w:rPr>
                  <w:rStyle w:val="Hyperlink"/>
                </w:rPr>
                <w:t>Patient not present indicator</w:t>
              </w:r>
            </w:hyperlink>
            <w:r w:rsidRPr="001571B0">
              <w:rPr>
                <w:bCs/>
              </w:rPr>
              <w:t xml:space="preserve"> is blank,</w:t>
            </w:r>
            <w:r w:rsidR="001571B0" w:rsidRPr="001571B0">
              <w:rPr>
                <w:bCs/>
              </w:rPr>
              <w:t xml:space="preserve"> and</w:t>
            </w:r>
          </w:p>
          <w:p w14:paraId="599C6D8F" w14:textId="77777777" w:rsidR="001571B0" w:rsidRDefault="004B2610" w:rsidP="005A31CB">
            <w:pPr>
              <w:pStyle w:val="BodyText"/>
              <w:numPr>
                <w:ilvl w:val="0"/>
                <w:numId w:val="25"/>
              </w:numPr>
              <w:rPr>
                <w:bCs/>
              </w:rPr>
            </w:pPr>
            <w:r w:rsidRPr="001571B0">
              <w:rPr>
                <w:bCs/>
              </w:rPr>
              <w:t xml:space="preserve">the </w:t>
            </w:r>
            <w:hyperlink r:id="rId51" w:history="1">
              <w:r w:rsidR="001571B0" w:rsidRPr="00E77B5A">
                <w:rPr>
                  <w:rStyle w:val="Hyperlink"/>
                </w:rPr>
                <w:t>Corporate clinic code</w:t>
              </w:r>
            </w:hyperlink>
            <w:r w:rsidRPr="001571B0">
              <w:rPr>
                <w:bCs/>
              </w:rPr>
              <w:t xml:space="preserve"> (CCC) is not for a home based procedure,</w:t>
            </w:r>
            <w:r w:rsidR="001571B0" w:rsidRPr="001571B0">
              <w:rPr>
                <w:bCs/>
              </w:rPr>
              <w:t xml:space="preserve"> and</w:t>
            </w:r>
          </w:p>
          <w:p w14:paraId="7D515B43" w14:textId="77777777" w:rsidR="001571B0" w:rsidRDefault="004B2610" w:rsidP="00034075">
            <w:pPr>
              <w:pStyle w:val="BodyText"/>
              <w:numPr>
                <w:ilvl w:val="0"/>
                <w:numId w:val="25"/>
              </w:numPr>
              <w:rPr>
                <w:bCs/>
              </w:rPr>
            </w:pPr>
            <w:r w:rsidRPr="001571B0">
              <w:rPr>
                <w:bCs/>
              </w:rPr>
              <w:t xml:space="preserve">the </w:t>
            </w:r>
            <w:hyperlink r:id="rId52" w:history="1">
              <w:r w:rsidR="001571B0" w:rsidRPr="00E77B5A">
                <w:rPr>
                  <w:rStyle w:val="Hyperlink"/>
                </w:rPr>
                <w:t>Service delivery mode</w:t>
              </w:r>
            </w:hyperlink>
            <w:r w:rsidRPr="001571B0">
              <w:rPr>
                <w:bCs/>
              </w:rPr>
              <w:t xml:space="preserve"> is code </w:t>
            </w:r>
            <w:r w:rsidR="001571B0" w:rsidRPr="001571B0">
              <w:rPr>
                <w:bCs/>
              </w:rPr>
              <w:t>‘</w:t>
            </w:r>
            <w:r w:rsidRPr="001571B0">
              <w:rPr>
                <w:bCs/>
              </w:rPr>
              <w:t>10</w:t>
            </w:r>
            <w:r w:rsidR="001571B0" w:rsidRPr="001571B0">
              <w:rPr>
                <w:bCs/>
              </w:rPr>
              <w:t>’</w:t>
            </w:r>
            <w:r w:rsidRPr="001571B0">
              <w:rPr>
                <w:bCs/>
              </w:rPr>
              <w:t xml:space="preserve"> </w:t>
            </w:r>
            <w:r w:rsidR="001571B0" w:rsidRPr="001571B0">
              <w:rPr>
                <w:bCs/>
              </w:rPr>
              <w:t xml:space="preserve">– </w:t>
            </w:r>
            <w:r w:rsidRPr="001571B0">
              <w:rPr>
                <w:bCs/>
              </w:rPr>
              <w:t>Patient</w:t>
            </w:r>
            <w:r w:rsidR="001571B0" w:rsidRPr="001571B0">
              <w:rPr>
                <w:bCs/>
              </w:rPr>
              <w:t xml:space="preserve"> </w:t>
            </w:r>
            <w:r w:rsidRPr="001571B0">
              <w:rPr>
                <w:bCs/>
              </w:rPr>
              <w:t>self-administered – diagnostic monitoring (telemonitoring)</w:t>
            </w:r>
            <w:r w:rsidR="001571B0" w:rsidRPr="001571B0">
              <w:rPr>
                <w:bCs/>
              </w:rPr>
              <w:t>,</w:t>
            </w:r>
            <w:r w:rsidRPr="001571B0">
              <w:rPr>
                <w:bCs/>
              </w:rPr>
              <w:t xml:space="preserve"> and</w:t>
            </w:r>
          </w:p>
          <w:p w14:paraId="2FDA4F59" w14:textId="5881DBBA" w:rsidR="004B2610" w:rsidRPr="001571B0" w:rsidRDefault="004B2610" w:rsidP="00EC2651">
            <w:pPr>
              <w:pStyle w:val="BodyText"/>
              <w:numPr>
                <w:ilvl w:val="0"/>
                <w:numId w:val="25"/>
              </w:numPr>
              <w:rPr>
                <w:bCs/>
              </w:rPr>
            </w:pPr>
            <w:r w:rsidRPr="001571B0">
              <w:rPr>
                <w:bCs/>
              </w:rPr>
              <w:t xml:space="preserve">the </w:t>
            </w:r>
            <w:hyperlink r:id="rId53" w:history="1">
              <w:r w:rsidR="001571B0" w:rsidRPr="00EF0574">
                <w:rPr>
                  <w:rStyle w:val="Hyperlink"/>
                  <w:bCs/>
                </w:rPr>
                <w:t>Provider type</w:t>
              </w:r>
            </w:hyperlink>
            <w:r w:rsidR="001571B0" w:rsidRPr="00EF0574">
              <w:rPr>
                <w:bCs/>
              </w:rPr>
              <w:t xml:space="preserve"> is code </w:t>
            </w:r>
            <w:r w:rsidR="001571B0">
              <w:rPr>
                <w:bCs/>
              </w:rPr>
              <w:t>‘</w:t>
            </w:r>
            <w:r w:rsidR="001571B0" w:rsidRPr="00EF0574">
              <w:rPr>
                <w:bCs/>
              </w:rPr>
              <w:t>77777777</w:t>
            </w:r>
            <w:r w:rsidR="001571B0">
              <w:rPr>
                <w:bCs/>
              </w:rPr>
              <w:t>’ –</w:t>
            </w:r>
            <w:r w:rsidR="001571B0" w:rsidRPr="00EF0574">
              <w:rPr>
                <w:bCs/>
              </w:rPr>
              <w:t xml:space="preserve"> Non-clinical/home provider</w:t>
            </w:r>
            <w:r w:rsidRPr="001571B0">
              <w:rPr>
                <w:bCs/>
              </w:rPr>
              <w:t>.</w:t>
            </w:r>
          </w:p>
          <w:p w14:paraId="41C8C7E2" w14:textId="77777777" w:rsidR="00F77D27" w:rsidRDefault="00F77D27" w:rsidP="00510665">
            <w:pPr>
              <w:pStyle w:val="BodyText"/>
              <w:rPr>
                <w:b/>
              </w:rPr>
            </w:pPr>
          </w:p>
          <w:p w14:paraId="574D3355" w14:textId="41C8C228" w:rsidR="00510665" w:rsidRPr="00E77B5A" w:rsidRDefault="00956111" w:rsidP="00510665">
            <w:pPr>
              <w:pStyle w:val="BodyText"/>
              <w:rPr>
                <w:b/>
              </w:rPr>
            </w:pPr>
            <w:r>
              <w:rPr>
                <w:b/>
              </w:rPr>
              <w:t xml:space="preserve">Other relevant </w:t>
            </w:r>
            <w:r w:rsidR="00510665" w:rsidRPr="00E77B5A">
              <w:rPr>
                <w:b/>
              </w:rPr>
              <w:t>AIHW national reporting code</w:t>
            </w:r>
            <w:r>
              <w:rPr>
                <w:b/>
              </w:rPr>
              <w:t>s</w:t>
            </w:r>
            <w:r w:rsidR="00F77D27">
              <w:rPr>
                <w:b/>
              </w:rPr>
              <w:t xml:space="preserve"> referenced in the </w:t>
            </w:r>
            <w:hyperlink r:id="rId54" w:history="1">
              <w:r w:rsidR="00F77D27" w:rsidRPr="00F77D27">
                <w:rPr>
                  <w:rStyle w:val="Hyperlink"/>
                  <w:b/>
                </w:rPr>
                <w:t>NAP NBEDS Mapping to National Data Standards for MDCCs and home based procedures</w:t>
              </w:r>
            </w:hyperlink>
            <w:r w:rsidR="00F77D27">
              <w:rPr>
                <w:b/>
              </w:rPr>
              <w:t xml:space="preserve"> (Rule 14 tab)</w:t>
            </w:r>
            <w:r w:rsidR="00510665" w:rsidRPr="00E77B5A">
              <w:rPr>
                <w:b/>
              </w:rPr>
              <w:t>:</w:t>
            </w:r>
          </w:p>
          <w:p w14:paraId="47B71746" w14:textId="134407D7" w:rsidR="00510665" w:rsidRPr="00E77B5A" w:rsidRDefault="00F77D27" w:rsidP="00510665">
            <w:pPr>
              <w:pStyle w:val="BodyText"/>
              <w:rPr>
                <w:bCs/>
                <w:u w:val="single"/>
              </w:rPr>
            </w:pPr>
            <w:hyperlink r:id="rId55" w:history="1">
              <w:r w:rsidR="00510665" w:rsidRPr="00F77D27">
                <w:rPr>
                  <w:rStyle w:val="Hyperlink"/>
                  <w:bCs/>
                </w:rPr>
                <w:t>Service delivery mode</w:t>
              </w:r>
            </w:hyperlink>
          </w:p>
          <w:p w14:paraId="5604B8A3" w14:textId="77777777" w:rsidR="00510665" w:rsidRPr="00E77B5A" w:rsidRDefault="00510665" w:rsidP="00510665">
            <w:pPr>
              <w:pStyle w:val="BodyTextCondensed"/>
            </w:pPr>
            <w:r w:rsidRPr="00E77B5A">
              <w:t>CODE 6 - Patient self-administered</w:t>
            </w:r>
          </w:p>
          <w:p w14:paraId="0E2C27C0" w14:textId="77777777" w:rsidR="00510665" w:rsidRPr="00E77B5A" w:rsidRDefault="00510665" w:rsidP="00510665">
            <w:pPr>
              <w:pStyle w:val="BodyTextCondensed"/>
            </w:pPr>
            <w:r w:rsidRPr="00E77B5A">
              <w:t xml:space="preserve">The service event was delivered via a means that does not involve direct interaction with a healthcare provider (however is under the care/review of the healthcare provider) such as home based procedures and remote home based diagnostic monitoring (telemonitoring) that the patient self-administers without assistance from a healthcare provider. </w:t>
            </w:r>
          </w:p>
          <w:p w14:paraId="4EFD9EC1" w14:textId="77777777" w:rsidR="00510665" w:rsidRPr="00E77B5A" w:rsidRDefault="00510665" w:rsidP="00510665">
            <w:pPr>
              <w:pStyle w:val="BodyTextCondensed"/>
            </w:pPr>
            <w:r w:rsidRPr="00E77B5A">
              <w:t>CODE 7 - Non-client event</w:t>
            </w:r>
          </w:p>
          <w:p w14:paraId="72C0402E" w14:textId="77777777" w:rsidR="00510665" w:rsidRPr="00E77B5A" w:rsidRDefault="00510665" w:rsidP="00510665">
            <w:pPr>
              <w:pStyle w:val="BodyTextCondensed"/>
            </w:pPr>
            <w:r w:rsidRPr="00E77B5A">
              <w:t xml:space="preserve">This category covers services where the patient did not participate in the service, such as multidisciplinary case conference. </w:t>
            </w:r>
          </w:p>
          <w:p w14:paraId="546B1E65" w14:textId="6D07E57C" w:rsidR="00510665" w:rsidRPr="00E77B5A" w:rsidRDefault="00956111" w:rsidP="00510665">
            <w:pPr>
              <w:pStyle w:val="BodyText"/>
              <w:rPr>
                <w:bCs/>
                <w:u w:val="single"/>
              </w:rPr>
            </w:pPr>
            <w:hyperlink r:id="rId56" w:history="1">
              <w:r w:rsidR="00510665" w:rsidRPr="00956111">
                <w:rPr>
                  <w:rStyle w:val="Hyperlink"/>
                  <w:bCs/>
                </w:rPr>
                <w:t>Multiple Health Care Provider Indicator</w:t>
              </w:r>
            </w:hyperlink>
          </w:p>
          <w:p w14:paraId="2C79E1EF" w14:textId="77777777" w:rsidR="00510665" w:rsidRPr="00E77B5A" w:rsidRDefault="00510665" w:rsidP="00510665">
            <w:pPr>
              <w:pStyle w:val="BodyTextCondensed"/>
            </w:pPr>
            <w:r w:rsidRPr="00E77B5A">
              <w:t>CODE 7   Not applicable</w:t>
            </w:r>
          </w:p>
          <w:p w14:paraId="33309959" w14:textId="7E5D70DE" w:rsidR="00E77B5A" w:rsidRPr="00E77B5A" w:rsidRDefault="00510665" w:rsidP="00510665">
            <w:pPr>
              <w:pStyle w:val="BodyText"/>
              <w:rPr>
                <w:bCs/>
                <w:u w:val="single"/>
              </w:rPr>
            </w:pPr>
            <w:r w:rsidRPr="00E77B5A">
              <w:lastRenderedPageBreak/>
              <w:t>This code is used to indicate that there was no direct interaction between the patient and a health-care provider. This includes multi-disciplinary case conferences where the patient does not participate, and home delivered services where the patient performs the procedure, and no healthcare provider is present.</w:t>
            </w:r>
          </w:p>
        </w:tc>
      </w:tr>
      <w:tr w:rsidR="00E77B5A" w:rsidRPr="00E77B5A" w14:paraId="1DF45756" w14:textId="77777777" w:rsidTr="007C2700">
        <w:trPr>
          <w:trHeight w:val="315"/>
        </w:trPr>
        <w:tc>
          <w:tcPr>
            <w:tcW w:w="1970" w:type="dxa"/>
            <w:shd w:val="clear" w:color="auto" w:fill="94DCEF"/>
            <w:vAlign w:val="center"/>
            <w:hideMark/>
          </w:tcPr>
          <w:p w14:paraId="0EDFA5A7" w14:textId="77777777" w:rsidR="00E77B5A" w:rsidRPr="00E77B5A" w:rsidRDefault="00E77B5A" w:rsidP="00E77B5A">
            <w:pPr>
              <w:pStyle w:val="BodyText"/>
              <w:rPr>
                <w:b/>
                <w:bCs/>
              </w:rPr>
            </w:pPr>
            <w:r w:rsidRPr="00E77B5A">
              <w:rPr>
                <w:b/>
                <w:bCs/>
              </w:rPr>
              <w:lastRenderedPageBreak/>
              <w:t>File Format Item #</w:t>
            </w:r>
          </w:p>
        </w:tc>
        <w:tc>
          <w:tcPr>
            <w:tcW w:w="567" w:type="dxa"/>
            <w:shd w:val="clear" w:color="auto" w:fill="B8E5FC"/>
            <w:vAlign w:val="center"/>
            <w:hideMark/>
          </w:tcPr>
          <w:p w14:paraId="34E2AFB7" w14:textId="77777777" w:rsidR="00E77B5A" w:rsidRPr="00E77B5A" w:rsidRDefault="00E77B5A" w:rsidP="00E77B5A">
            <w:pPr>
              <w:pStyle w:val="BodyText"/>
              <w:rPr>
                <w:bCs/>
              </w:rPr>
            </w:pPr>
            <w:r w:rsidRPr="00E77B5A">
              <w:rPr>
                <w:bCs/>
              </w:rPr>
              <w:t>23</w:t>
            </w:r>
          </w:p>
        </w:tc>
        <w:tc>
          <w:tcPr>
            <w:tcW w:w="2268" w:type="dxa"/>
            <w:shd w:val="clear" w:color="auto" w:fill="94DCEF"/>
            <w:vAlign w:val="center"/>
            <w:hideMark/>
          </w:tcPr>
          <w:p w14:paraId="777BD439" w14:textId="77777777" w:rsidR="00E77B5A" w:rsidRPr="00E77B5A" w:rsidRDefault="00E77B5A" w:rsidP="00E77B5A">
            <w:pPr>
              <w:pStyle w:val="BodyText"/>
              <w:rPr>
                <w:b/>
                <w:bCs/>
              </w:rPr>
            </w:pPr>
            <w:r w:rsidRPr="00E77B5A">
              <w:rPr>
                <w:b/>
                <w:bCs/>
              </w:rPr>
              <w:t>File Format Data Item</w:t>
            </w:r>
          </w:p>
        </w:tc>
        <w:tc>
          <w:tcPr>
            <w:tcW w:w="2977" w:type="dxa"/>
            <w:shd w:val="clear" w:color="auto" w:fill="B8E5FC"/>
            <w:vAlign w:val="center"/>
          </w:tcPr>
          <w:p w14:paraId="64897941" w14:textId="77777777" w:rsidR="00E77B5A" w:rsidRPr="00E77B5A" w:rsidRDefault="00EC2651" w:rsidP="00E77B5A">
            <w:pPr>
              <w:pStyle w:val="BodyText"/>
            </w:pPr>
            <w:hyperlink r:id="rId57" w:history="1">
              <w:r w:rsidR="00E77B5A" w:rsidRPr="00E77B5A">
                <w:rPr>
                  <w:rStyle w:val="Hyperlink"/>
                </w:rPr>
                <w:t>Multiple healthcare provider indicator</w:t>
              </w:r>
            </w:hyperlink>
          </w:p>
        </w:tc>
        <w:tc>
          <w:tcPr>
            <w:tcW w:w="2126" w:type="dxa"/>
            <w:shd w:val="clear" w:color="auto" w:fill="94DCEF"/>
            <w:vAlign w:val="center"/>
          </w:tcPr>
          <w:p w14:paraId="08FD97D8" w14:textId="77777777" w:rsidR="00E77B5A" w:rsidRPr="00E77B5A" w:rsidRDefault="00E77B5A" w:rsidP="00E77B5A">
            <w:pPr>
              <w:pStyle w:val="BodyText"/>
              <w:rPr>
                <w:bCs/>
                <w:u w:val="single"/>
              </w:rPr>
            </w:pPr>
            <w:r w:rsidRPr="00E77B5A">
              <w:rPr>
                <w:b/>
                <w:bCs/>
              </w:rPr>
              <w:t>Relevant Values in Data Domain</w:t>
            </w:r>
          </w:p>
        </w:tc>
        <w:tc>
          <w:tcPr>
            <w:tcW w:w="3838" w:type="dxa"/>
            <w:shd w:val="clear" w:color="auto" w:fill="auto"/>
            <w:vAlign w:val="center"/>
          </w:tcPr>
          <w:p w14:paraId="03B6FC29" w14:textId="77777777" w:rsidR="00E77B5A" w:rsidRPr="00E77B5A" w:rsidRDefault="00E77B5A" w:rsidP="00E77B5A">
            <w:pPr>
              <w:pStyle w:val="BodyText"/>
              <w:rPr>
                <w:bCs/>
              </w:rPr>
            </w:pPr>
            <w:r w:rsidRPr="00E77B5A">
              <w:rPr>
                <w:bCs/>
              </w:rPr>
              <w:t>‘1’ – Yes</w:t>
            </w:r>
          </w:p>
        </w:tc>
      </w:tr>
      <w:tr w:rsidR="00E77B5A" w:rsidRPr="00E77B5A" w14:paraId="1BCE3195" w14:textId="77777777" w:rsidTr="007C2700">
        <w:trPr>
          <w:trHeight w:val="315"/>
        </w:trPr>
        <w:tc>
          <w:tcPr>
            <w:tcW w:w="1970" w:type="dxa"/>
            <w:shd w:val="clear" w:color="auto" w:fill="94DCEF"/>
            <w:vAlign w:val="center"/>
            <w:hideMark/>
          </w:tcPr>
          <w:p w14:paraId="41C738B0" w14:textId="77777777" w:rsidR="00E77B5A" w:rsidRPr="00E77B5A" w:rsidRDefault="00E77B5A" w:rsidP="00E77B5A">
            <w:pPr>
              <w:pStyle w:val="BodyText"/>
              <w:rPr>
                <w:b/>
                <w:bCs/>
              </w:rPr>
            </w:pPr>
            <w:r w:rsidRPr="00E77B5A">
              <w:rPr>
                <w:b/>
                <w:bCs/>
              </w:rPr>
              <w:t>File Format Item #</w:t>
            </w:r>
          </w:p>
        </w:tc>
        <w:tc>
          <w:tcPr>
            <w:tcW w:w="567" w:type="dxa"/>
            <w:shd w:val="clear" w:color="auto" w:fill="B8E5FC"/>
            <w:vAlign w:val="center"/>
            <w:hideMark/>
          </w:tcPr>
          <w:p w14:paraId="12D6857E" w14:textId="77777777" w:rsidR="00E77B5A" w:rsidRPr="00E77B5A" w:rsidRDefault="00E77B5A" w:rsidP="00E77B5A">
            <w:pPr>
              <w:pStyle w:val="BodyText"/>
              <w:rPr>
                <w:bCs/>
              </w:rPr>
            </w:pPr>
            <w:r w:rsidRPr="00E77B5A">
              <w:rPr>
                <w:bCs/>
              </w:rPr>
              <w:t>45</w:t>
            </w:r>
          </w:p>
        </w:tc>
        <w:tc>
          <w:tcPr>
            <w:tcW w:w="2268" w:type="dxa"/>
            <w:shd w:val="clear" w:color="auto" w:fill="94DCEF"/>
            <w:vAlign w:val="center"/>
            <w:hideMark/>
          </w:tcPr>
          <w:p w14:paraId="4ACBE62D" w14:textId="77777777" w:rsidR="00E77B5A" w:rsidRPr="00E77B5A" w:rsidRDefault="00E77B5A" w:rsidP="00E77B5A">
            <w:pPr>
              <w:pStyle w:val="BodyText"/>
              <w:rPr>
                <w:b/>
                <w:bCs/>
              </w:rPr>
            </w:pPr>
            <w:r w:rsidRPr="00E77B5A">
              <w:rPr>
                <w:b/>
                <w:bCs/>
              </w:rPr>
              <w:t>File Format Data Item</w:t>
            </w:r>
          </w:p>
        </w:tc>
        <w:tc>
          <w:tcPr>
            <w:tcW w:w="2977" w:type="dxa"/>
            <w:shd w:val="clear" w:color="auto" w:fill="B8E5FC"/>
            <w:vAlign w:val="center"/>
          </w:tcPr>
          <w:p w14:paraId="0B4A170E" w14:textId="77777777" w:rsidR="00E77B5A" w:rsidRPr="00E77B5A" w:rsidRDefault="00EC2651" w:rsidP="00E77B5A">
            <w:pPr>
              <w:pStyle w:val="BodyText"/>
            </w:pPr>
            <w:hyperlink r:id="rId58" w:history="1">
              <w:r w:rsidR="00E77B5A" w:rsidRPr="00E77B5A">
                <w:rPr>
                  <w:rStyle w:val="Hyperlink"/>
                </w:rPr>
                <w:t>Patient not present indicator</w:t>
              </w:r>
            </w:hyperlink>
          </w:p>
        </w:tc>
        <w:tc>
          <w:tcPr>
            <w:tcW w:w="2126" w:type="dxa"/>
            <w:shd w:val="clear" w:color="auto" w:fill="94DCEF"/>
            <w:vAlign w:val="center"/>
          </w:tcPr>
          <w:p w14:paraId="34632B3C" w14:textId="77777777" w:rsidR="00E77B5A" w:rsidRPr="00E77B5A" w:rsidRDefault="00E77B5A" w:rsidP="00E77B5A">
            <w:pPr>
              <w:pStyle w:val="BodyText"/>
              <w:rPr>
                <w:bCs/>
                <w:u w:val="single"/>
              </w:rPr>
            </w:pPr>
            <w:r w:rsidRPr="00E77B5A">
              <w:rPr>
                <w:b/>
                <w:bCs/>
              </w:rPr>
              <w:t>Relevant Values in Data Domain</w:t>
            </w:r>
          </w:p>
        </w:tc>
        <w:tc>
          <w:tcPr>
            <w:tcW w:w="3838" w:type="dxa"/>
            <w:shd w:val="clear" w:color="auto" w:fill="auto"/>
            <w:vAlign w:val="center"/>
          </w:tcPr>
          <w:p w14:paraId="5B7E6AA5" w14:textId="77777777" w:rsidR="00E77B5A" w:rsidRPr="00E77B5A" w:rsidRDefault="00E77B5A" w:rsidP="00E77B5A">
            <w:pPr>
              <w:pStyle w:val="BodyText"/>
              <w:rPr>
                <w:bCs/>
              </w:rPr>
            </w:pPr>
            <w:r w:rsidRPr="00E77B5A">
              <w:rPr>
                <w:bCs/>
              </w:rPr>
              <w:t>‘1’ – Yes</w:t>
            </w:r>
          </w:p>
        </w:tc>
      </w:tr>
      <w:tr w:rsidR="00E77B5A" w:rsidRPr="00E77B5A" w14:paraId="6CCE9E58" w14:textId="77777777" w:rsidTr="007C2700">
        <w:trPr>
          <w:trHeight w:val="315"/>
        </w:trPr>
        <w:tc>
          <w:tcPr>
            <w:tcW w:w="1970" w:type="dxa"/>
            <w:shd w:val="clear" w:color="auto" w:fill="94DCEF"/>
            <w:vAlign w:val="center"/>
            <w:hideMark/>
          </w:tcPr>
          <w:p w14:paraId="5050DB59" w14:textId="77777777" w:rsidR="00E77B5A" w:rsidRPr="00E77B5A" w:rsidRDefault="00E77B5A" w:rsidP="00E77B5A">
            <w:pPr>
              <w:pStyle w:val="BodyText"/>
              <w:rPr>
                <w:b/>
                <w:bCs/>
              </w:rPr>
            </w:pPr>
            <w:r w:rsidRPr="00E77B5A">
              <w:rPr>
                <w:b/>
                <w:bCs/>
              </w:rPr>
              <w:t>File Format Item #</w:t>
            </w:r>
          </w:p>
        </w:tc>
        <w:tc>
          <w:tcPr>
            <w:tcW w:w="567" w:type="dxa"/>
            <w:shd w:val="clear" w:color="auto" w:fill="B8E5FC"/>
            <w:vAlign w:val="center"/>
            <w:hideMark/>
          </w:tcPr>
          <w:p w14:paraId="48FBC457" w14:textId="77777777" w:rsidR="00E77B5A" w:rsidRPr="00E77B5A" w:rsidRDefault="00E77B5A" w:rsidP="00E77B5A">
            <w:pPr>
              <w:pStyle w:val="BodyText"/>
              <w:rPr>
                <w:bCs/>
              </w:rPr>
            </w:pPr>
            <w:r w:rsidRPr="00E77B5A">
              <w:rPr>
                <w:bCs/>
              </w:rPr>
              <w:t>20</w:t>
            </w:r>
          </w:p>
        </w:tc>
        <w:tc>
          <w:tcPr>
            <w:tcW w:w="2268" w:type="dxa"/>
            <w:shd w:val="clear" w:color="auto" w:fill="94DCEF"/>
            <w:vAlign w:val="center"/>
            <w:hideMark/>
          </w:tcPr>
          <w:p w14:paraId="7DA823BB" w14:textId="77777777" w:rsidR="00E77B5A" w:rsidRPr="00E77B5A" w:rsidRDefault="00E77B5A" w:rsidP="00E77B5A">
            <w:pPr>
              <w:pStyle w:val="BodyText"/>
              <w:rPr>
                <w:b/>
                <w:bCs/>
              </w:rPr>
            </w:pPr>
            <w:r w:rsidRPr="00E77B5A">
              <w:rPr>
                <w:b/>
                <w:bCs/>
              </w:rPr>
              <w:t>File Format Data Item</w:t>
            </w:r>
          </w:p>
        </w:tc>
        <w:tc>
          <w:tcPr>
            <w:tcW w:w="2977" w:type="dxa"/>
            <w:shd w:val="clear" w:color="auto" w:fill="B8E5FC"/>
            <w:vAlign w:val="center"/>
          </w:tcPr>
          <w:p w14:paraId="366FACE1" w14:textId="77777777" w:rsidR="00E77B5A" w:rsidRPr="00E77B5A" w:rsidRDefault="00EC2651" w:rsidP="00E77B5A">
            <w:pPr>
              <w:pStyle w:val="BodyText"/>
            </w:pPr>
            <w:hyperlink r:id="rId59" w:history="1">
              <w:r w:rsidR="00E77B5A" w:rsidRPr="00E77B5A">
                <w:rPr>
                  <w:rStyle w:val="Hyperlink"/>
                </w:rPr>
                <w:t>Service delivery mode</w:t>
              </w:r>
            </w:hyperlink>
          </w:p>
        </w:tc>
        <w:tc>
          <w:tcPr>
            <w:tcW w:w="2126" w:type="dxa"/>
            <w:shd w:val="clear" w:color="auto" w:fill="94DCEF"/>
            <w:vAlign w:val="center"/>
          </w:tcPr>
          <w:p w14:paraId="7547F599" w14:textId="77777777" w:rsidR="00E77B5A" w:rsidRPr="00E77B5A" w:rsidRDefault="00E77B5A" w:rsidP="00E77B5A">
            <w:pPr>
              <w:pStyle w:val="BodyText"/>
              <w:rPr>
                <w:bCs/>
                <w:u w:val="single"/>
              </w:rPr>
            </w:pPr>
            <w:r w:rsidRPr="00E77B5A">
              <w:rPr>
                <w:b/>
                <w:bCs/>
              </w:rPr>
              <w:t>Relevant Values in Data Domain</w:t>
            </w:r>
          </w:p>
        </w:tc>
        <w:tc>
          <w:tcPr>
            <w:tcW w:w="3838" w:type="dxa"/>
            <w:shd w:val="clear" w:color="auto" w:fill="auto"/>
            <w:vAlign w:val="center"/>
          </w:tcPr>
          <w:p w14:paraId="64A5E1D2" w14:textId="77777777" w:rsidR="00E77B5A" w:rsidRPr="00E77B5A" w:rsidRDefault="00E77B5A" w:rsidP="003D6063">
            <w:pPr>
              <w:pStyle w:val="ListBullet"/>
            </w:pPr>
            <w:r w:rsidRPr="00E77B5A">
              <w:t>‘9’ – Patient self-administered – Other</w:t>
            </w:r>
          </w:p>
          <w:p w14:paraId="4AD51D37" w14:textId="77777777" w:rsidR="00E77B5A" w:rsidRPr="00E77B5A" w:rsidRDefault="00E77B5A" w:rsidP="003D6063">
            <w:pPr>
              <w:pStyle w:val="ListBullet"/>
            </w:pPr>
            <w:r w:rsidRPr="00E77B5A">
              <w:t>‘10’ – Patient self-administered – diagnostic monitoring (telemonitoring)</w:t>
            </w:r>
          </w:p>
        </w:tc>
      </w:tr>
      <w:tr w:rsidR="00E77B5A" w:rsidRPr="00E77B5A" w14:paraId="30E52514" w14:textId="77777777" w:rsidTr="007C2700">
        <w:trPr>
          <w:trHeight w:val="315"/>
        </w:trPr>
        <w:tc>
          <w:tcPr>
            <w:tcW w:w="1970" w:type="dxa"/>
            <w:shd w:val="clear" w:color="auto" w:fill="94DCEF"/>
            <w:vAlign w:val="center"/>
            <w:hideMark/>
          </w:tcPr>
          <w:p w14:paraId="4D9D8E3A" w14:textId="77777777" w:rsidR="00E77B5A" w:rsidRPr="00E77B5A" w:rsidRDefault="00E77B5A" w:rsidP="00E77B5A">
            <w:pPr>
              <w:pStyle w:val="BodyText"/>
              <w:rPr>
                <w:b/>
                <w:bCs/>
              </w:rPr>
            </w:pPr>
            <w:r w:rsidRPr="00E77B5A">
              <w:rPr>
                <w:b/>
                <w:bCs/>
              </w:rPr>
              <w:t>File Format Item #</w:t>
            </w:r>
          </w:p>
        </w:tc>
        <w:tc>
          <w:tcPr>
            <w:tcW w:w="567" w:type="dxa"/>
            <w:shd w:val="clear" w:color="auto" w:fill="B8E5FC"/>
            <w:vAlign w:val="center"/>
            <w:hideMark/>
          </w:tcPr>
          <w:p w14:paraId="30663571" w14:textId="77777777" w:rsidR="00E77B5A" w:rsidRPr="00E77B5A" w:rsidRDefault="00E77B5A" w:rsidP="00E77B5A">
            <w:pPr>
              <w:pStyle w:val="BodyText"/>
              <w:rPr>
                <w:bCs/>
              </w:rPr>
            </w:pPr>
            <w:r w:rsidRPr="00E77B5A">
              <w:rPr>
                <w:bCs/>
              </w:rPr>
              <w:t>15</w:t>
            </w:r>
          </w:p>
        </w:tc>
        <w:tc>
          <w:tcPr>
            <w:tcW w:w="2268" w:type="dxa"/>
            <w:shd w:val="clear" w:color="auto" w:fill="94DCEF"/>
            <w:vAlign w:val="center"/>
            <w:hideMark/>
          </w:tcPr>
          <w:p w14:paraId="5C1CF8E1" w14:textId="77777777" w:rsidR="00E77B5A" w:rsidRPr="00E77B5A" w:rsidRDefault="00E77B5A" w:rsidP="00E77B5A">
            <w:pPr>
              <w:pStyle w:val="BodyText"/>
              <w:rPr>
                <w:b/>
                <w:bCs/>
              </w:rPr>
            </w:pPr>
            <w:r w:rsidRPr="00E77B5A">
              <w:rPr>
                <w:b/>
                <w:bCs/>
              </w:rPr>
              <w:t>File Format Data Item</w:t>
            </w:r>
          </w:p>
        </w:tc>
        <w:tc>
          <w:tcPr>
            <w:tcW w:w="2977" w:type="dxa"/>
            <w:shd w:val="clear" w:color="auto" w:fill="B8E5FC"/>
            <w:vAlign w:val="center"/>
          </w:tcPr>
          <w:p w14:paraId="5E84BEDB" w14:textId="2BA8A42A" w:rsidR="00E77B5A" w:rsidRPr="00E77B5A" w:rsidRDefault="00EC2651" w:rsidP="00E77B5A">
            <w:pPr>
              <w:pStyle w:val="BodyText"/>
            </w:pPr>
            <w:hyperlink r:id="rId60" w:history="1">
              <w:r w:rsidR="00E77B5A" w:rsidRPr="00E77B5A">
                <w:rPr>
                  <w:rStyle w:val="Hyperlink"/>
                </w:rPr>
                <w:t>Corporate clinic code</w:t>
              </w:r>
            </w:hyperlink>
          </w:p>
        </w:tc>
        <w:tc>
          <w:tcPr>
            <w:tcW w:w="2126" w:type="dxa"/>
            <w:shd w:val="clear" w:color="auto" w:fill="94DCEF"/>
            <w:vAlign w:val="center"/>
          </w:tcPr>
          <w:p w14:paraId="259ABFB6" w14:textId="77777777" w:rsidR="00E77B5A" w:rsidRPr="00E77B5A" w:rsidRDefault="00E77B5A" w:rsidP="00E77B5A">
            <w:pPr>
              <w:pStyle w:val="BodyText"/>
              <w:rPr>
                <w:bCs/>
                <w:u w:val="single"/>
              </w:rPr>
            </w:pPr>
            <w:r w:rsidRPr="00E77B5A">
              <w:rPr>
                <w:b/>
                <w:bCs/>
              </w:rPr>
              <w:t>Relevant Values in Data Domain</w:t>
            </w:r>
          </w:p>
        </w:tc>
        <w:tc>
          <w:tcPr>
            <w:tcW w:w="3838" w:type="dxa"/>
            <w:shd w:val="clear" w:color="auto" w:fill="auto"/>
            <w:vAlign w:val="center"/>
          </w:tcPr>
          <w:p w14:paraId="3CB96F07" w14:textId="77777777" w:rsidR="00E77B5A" w:rsidRPr="00E77B5A" w:rsidRDefault="00E77B5A" w:rsidP="00E77B5A">
            <w:pPr>
              <w:pStyle w:val="BodyText"/>
              <w:rPr>
                <w:bCs/>
              </w:rPr>
            </w:pPr>
            <w:r w:rsidRPr="00E77B5A">
              <w:rPr>
                <w:bCs/>
              </w:rPr>
              <w:t>522, 523, 524, 525, 527, 528, 701, 702, 703, 705, 706, 707, 708</w:t>
            </w:r>
          </w:p>
        </w:tc>
      </w:tr>
      <w:tr w:rsidR="00E77B5A" w:rsidRPr="00E77B5A" w14:paraId="0A27627E" w14:textId="77777777" w:rsidTr="007C2700">
        <w:trPr>
          <w:trHeight w:val="315"/>
        </w:trPr>
        <w:tc>
          <w:tcPr>
            <w:tcW w:w="1970" w:type="dxa"/>
            <w:shd w:val="clear" w:color="auto" w:fill="94DCEF"/>
            <w:vAlign w:val="center"/>
          </w:tcPr>
          <w:p w14:paraId="61CC3952" w14:textId="77777777" w:rsidR="00E77B5A" w:rsidRPr="00E77B5A" w:rsidRDefault="00E77B5A" w:rsidP="00E77B5A">
            <w:pPr>
              <w:pStyle w:val="BodyText"/>
              <w:rPr>
                <w:b/>
                <w:bCs/>
              </w:rPr>
            </w:pPr>
            <w:r w:rsidRPr="00E77B5A">
              <w:rPr>
                <w:b/>
                <w:bCs/>
              </w:rPr>
              <w:t>File Format Item #</w:t>
            </w:r>
          </w:p>
        </w:tc>
        <w:tc>
          <w:tcPr>
            <w:tcW w:w="567" w:type="dxa"/>
            <w:shd w:val="clear" w:color="auto" w:fill="B8E5FC"/>
            <w:vAlign w:val="center"/>
          </w:tcPr>
          <w:p w14:paraId="72BFDC72" w14:textId="77777777" w:rsidR="00E77B5A" w:rsidRPr="00E77B5A" w:rsidRDefault="00E77B5A" w:rsidP="00E77B5A">
            <w:pPr>
              <w:pStyle w:val="BodyText"/>
              <w:rPr>
                <w:bCs/>
              </w:rPr>
            </w:pPr>
            <w:r w:rsidRPr="00E77B5A">
              <w:rPr>
                <w:bCs/>
              </w:rPr>
              <w:t>19</w:t>
            </w:r>
          </w:p>
        </w:tc>
        <w:tc>
          <w:tcPr>
            <w:tcW w:w="2268" w:type="dxa"/>
            <w:shd w:val="clear" w:color="auto" w:fill="94DCEF"/>
            <w:vAlign w:val="center"/>
          </w:tcPr>
          <w:p w14:paraId="45790391" w14:textId="77777777" w:rsidR="00E77B5A" w:rsidRPr="00E77B5A" w:rsidRDefault="00E77B5A" w:rsidP="00E77B5A">
            <w:pPr>
              <w:pStyle w:val="BodyText"/>
              <w:rPr>
                <w:b/>
                <w:bCs/>
              </w:rPr>
            </w:pPr>
            <w:r w:rsidRPr="00E77B5A">
              <w:rPr>
                <w:b/>
                <w:bCs/>
              </w:rPr>
              <w:t>File Format Data Item</w:t>
            </w:r>
          </w:p>
        </w:tc>
        <w:tc>
          <w:tcPr>
            <w:tcW w:w="2977" w:type="dxa"/>
            <w:shd w:val="clear" w:color="auto" w:fill="B8E5FC"/>
            <w:vAlign w:val="center"/>
          </w:tcPr>
          <w:p w14:paraId="4E8A98C8" w14:textId="77777777" w:rsidR="00E77B5A" w:rsidRPr="00E77B5A" w:rsidRDefault="00EC2651" w:rsidP="00E77B5A">
            <w:pPr>
              <w:pStyle w:val="BodyText"/>
            </w:pPr>
            <w:hyperlink r:id="rId61" w:history="1">
              <w:r w:rsidR="00E77B5A" w:rsidRPr="00E77B5A">
                <w:rPr>
                  <w:rStyle w:val="Hyperlink"/>
                  <w:bCs/>
                </w:rPr>
                <w:t>Service delivery setting</w:t>
              </w:r>
            </w:hyperlink>
          </w:p>
        </w:tc>
        <w:tc>
          <w:tcPr>
            <w:tcW w:w="2126" w:type="dxa"/>
            <w:shd w:val="clear" w:color="auto" w:fill="94DCEF"/>
            <w:vAlign w:val="center"/>
          </w:tcPr>
          <w:p w14:paraId="361418F5" w14:textId="77777777" w:rsidR="00E77B5A" w:rsidRPr="00E77B5A" w:rsidRDefault="00E77B5A" w:rsidP="00E77B5A">
            <w:pPr>
              <w:pStyle w:val="BodyText"/>
              <w:rPr>
                <w:b/>
                <w:bCs/>
              </w:rPr>
            </w:pPr>
            <w:r w:rsidRPr="00E77B5A">
              <w:rPr>
                <w:b/>
                <w:bCs/>
              </w:rPr>
              <w:t>Relevant Values in Data Domain</w:t>
            </w:r>
          </w:p>
        </w:tc>
        <w:tc>
          <w:tcPr>
            <w:tcW w:w="3838" w:type="dxa"/>
            <w:shd w:val="clear" w:color="auto" w:fill="auto"/>
            <w:vAlign w:val="center"/>
          </w:tcPr>
          <w:p w14:paraId="3C0E42D9" w14:textId="77777777" w:rsidR="00E77B5A" w:rsidRPr="00E77B5A" w:rsidRDefault="00E77B5A" w:rsidP="00E77B5A">
            <w:pPr>
              <w:pStyle w:val="BodyText"/>
              <w:rPr>
                <w:bCs/>
              </w:rPr>
            </w:pPr>
            <w:r w:rsidRPr="00E77B5A">
              <w:rPr>
                <w:bCs/>
              </w:rPr>
              <w:t>‘7’ – Not applicable</w:t>
            </w:r>
          </w:p>
        </w:tc>
      </w:tr>
    </w:tbl>
    <w:p w14:paraId="73FE636E" w14:textId="2041E36F" w:rsidR="00E77B5A" w:rsidRPr="008D46FD" w:rsidRDefault="00EC2651" w:rsidP="00485C79">
      <w:pPr>
        <w:pStyle w:val="Callout"/>
        <w:rPr>
          <w:sz w:val="36"/>
          <w:szCs w:val="36"/>
        </w:rPr>
      </w:pPr>
      <w:hyperlink r:id="rId62" w:history="1">
        <w:r w:rsidR="00485C79" w:rsidRPr="008D46FD">
          <w:rPr>
            <w:rStyle w:val="Hyperlink"/>
            <w:b/>
            <w:bCs/>
            <w:sz w:val="36"/>
            <w:szCs w:val="36"/>
          </w:rPr>
          <w:t>Click here to view the NAP NBEDS Mapping to National Data Standards for MDCCs and home based procedures</w:t>
        </w:r>
        <w:r w:rsidR="008D46FD" w:rsidRPr="008D46FD">
          <w:rPr>
            <w:rStyle w:val="Hyperlink"/>
            <w:b/>
            <w:bCs/>
            <w:sz w:val="36"/>
            <w:szCs w:val="36"/>
          </w:rPr>
          <w:t xml:space="preserve"> (Rule 14 tab)</w:t>
        </w:r>
        <w:r w:rsidR="00485C79" w:rsidRPr="008D46FD">
          <w:rPr>
            <w:rStyle w:val="Hyperlink"/>
            <w:b/>
            <w:bCs/>
            <w:sz w:val="36"/>
            <w:szCs w:val="36"/>
          </w:rPr>
          <w:t>.</w:t>
        </w:r>
      </w:hyperlink>
    </w:p>
    <w:sectPr w:rsidR="00E77B5A" w:rsidRPr="008D46FD" w:rsidSect="002104FF">
      <w:headerReference w:type="default" r:id="rId63"/>
      <w:pgSz w:w="16838" w:h="11906" w:orient="landscape" w:code="9"/>
      <w:pgMar w:top="851"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BA49" w14:textId="77777777" w:rsidR="00E55A2A" w:rsidRDefault="00E55A2A" w:rsidP="005655C9">
      <w:pPr>
        <w:spacing w:line="240" w:lineRule="auto"/>
      </w:pPr>
      <w:r>
        <w:separator/>
      </w:r>
    </w:p>
    <w:p w14:paraId="59514AE6" w14:textId="77777777" w:rsidR="00E55A2A" w:rsidRDefault="00E55A2A"/>
    <w:p w14:paraId="1EB3453B" w14:textId="77777777" w:rsidR="00E55A2A" w:rsidRDefault="00E55A2A" w:rsidP="00952B5B"/>
    <w:p w14:paraId="5E739C95" w14:textId="77777777" w:rsidR="00E55A2A" w:rsidRDefault="00E55A2A" w:rsidP="00952B5B"/>
    <w:p w14:paraId="144AEA28" w14:textId="77777777" w:rsidR="00E55A2A" w:rsidRDefault="00E55A2A"/>
    <w:p w14:paraId="1905B4D5" w14:textId="77777777" w:rsidR="00E55A2A" w:rsidRDefault="00E55A2A"/>
    <w:p w14:paraId="0AF720FB" w14:textId="77777777" w:rsidR="00E55A2A" w:rsidRDefault="00E55A2A"/>
    <w:p w14:paraId="45B8E93E" w14:textId="77777777" w:rsidR="00E55A2A" w:rsidRDefault="00E55A2A"/>
  </w:endnote>
  <w:endnote w:type="continuationSeparator" w:id="0">
    <w:p w14:paraId="53925364" w14:textId="77777777" w:rsidR="00E55A2A" w:rsidRDefault="00E55A2A" w:rsidP="005655C9">
      <w:pPr>
        <w:spacing w:line="240" w:lineRule="auto"/>
      </w:pPr>
      <w:r>
        <w:continuationSeparator/>
      </w:r>
    </w:p>
    <w:p w14:paraId="2F95F2D4" w14:textId="77777777" w:rsidR="00E55A2A" w:rsidRDefault="00E55A2A"/>
    <w:p w14:paraId="26917E24" w14:textId="77777777" w:rsidR="00E55A2A" w:rsidRDefault="00E55A2A" w:rsidP="00952B5B"/>
    <w:p w14:paraId="36A0FDBA" w14:textId="77777777" w:rsidR="00E55A2A" w:rsidRDefault="00E55A2A" w:rsidP="00952B5B"/>
    <w:p w14:paraId="59328975" w14:textId="77777777" w:rsidR="00E55A2A" w:rsidRDefault="00E55A2A"/>
    <w:p w14:paraId="02D032E3" w14:textId="77777777" w:rsidR="00E55A2A" w:rsidRDefault="00E55A2A"/>
    <w:p w14:paraId="083CD8BA" w14:textId="77777777" w:rsidR="00E55A2A" w:rsidRDefault="00E55A2A"/>
    <w:p w14:paraId="21531C22" w14:textId="77777777" w:rsidR="00E55A2A" w:rsidRDefault="00E55A2A"/>
  </w:endnote>
  <w:endnote w:type="continuationNotice" w:id="1">
    <w:p w14:paraId="09755113" w14:textId="77777777" w:rsidR="00D613D1" w:rsidRDefault="00D613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Fira Sans Black">
    <w:altName w:val="Fira Sans Black"/>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2284" w14:textId="42D17A92" w:rsidR="00DD3033" w:rsidRDefault="00EC2651"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EndPr/>
      <w:sdtContent>
        <w:r w:rsidR="00500D6A">
          <w:t>Queensland Health Non Admitted Patient Data Collection (QHNAPDC)</w:t>
        </w:r>
      </w:sdtContent>
    </w:sdt>
    <w:r w:rsidR="00DD3033">
      <w:t xml:space="preserve"> - </w:t>
    </w:r>
    <w:sdt>
      <w:sdtPr>
        <w:alias w:val="Subject"/>
        <w:tag w:val=""/>
        <w:id w:val="-629171801"/>
        <w:dataBinding w:prefixMappings="xmlns:ns0='http://purl.org/dc/elements/1.1/' xmlns:ns1='http://schemas.openxmlformats.org/package/2006/metadata/core-properties' " w:xpath="/ns1:coreProperties[1]/ns0:subject[1]" w:storeItemID="{6C3C8BC8-F283-45AE-878A-BAB7291924A1}"/>
        <w:text/>
      </w:sdtPr>
      <w:sdtEndPr/>
      <w:sdtContent>
        <w:r w:rsidR="00500D6A">
          <w:t>2024-2025 Business Rules</w:t>
        </w:r>
      </w:sdtContent>
    </w:sdt>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5387" w14:textId="57DDE4FB" w:rsidR="00757ADC" w:rsidRDefault="00757ADC" w:rsidP="00757ADC">
    <w:pPr>
      <w:pStyle w:val="Footer"/>
      <w:tabs>
        <w:tab w:val="clear" w:pos="4513"/>
        <w:tab w:val="center" w:pos="5245"/>
      </w:tabs>
    </w:pPr>
    <w:r>
      <w:rPr>
        <w:noProof/>
      </w:rPr>
      <w:drawing>
        <wp:anchor distT="0" distB="0" distL="114300" distR="114300" simplePos="0" relativeHeight="251658240" behindDoc="0" locked="0" layoutInCell="1" allowOverlap="1" wp14:anchorId="4D45B681" wp14:editId="06775A91">
          <wp:simplePos x="0" y="0"/>
          <wp:positionH relativeFrom="column">
            <wp:posOffset>4189730</wp:posOffset>
          </wp:positionH>
          <wp:positionV relativeFrom="page">
            <wp:posOffset>9819880</wp:posOffset>
          </wp:positionV>
          <wp:extent cx="1501775" cy="490220"/>
          <wp:effectExtent l="0" t="0" r="3175" b="5080"/>
          <wp:wrapSquare wrapText="bothSides"/>
          <wp:docPr id="8" name="Picture 8"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0B22328531384A41868CD2E9E2472951"/>
        </w:placeholder>
        <w:dataBinding w:prefixMappings="xmlns:ns0='http://purl.org/dc/elements/1.1/' xmlns:ns1='http://schemas.openxmlformats.org/package/2006/metadata/core-properties' " w:xpath="/ns1:coreProperties[1]/ns0:title[1]" w:storeItemID="{6C3C8BC8-F283-45AE-878A-BAB7291924A1}"/>
        <w:text/>
      </w:sdtPr>
      <w:sdtEndPr/>
      <w:sdtContent>
        <w:r w:rsidR="00500D6A">
          <w:t>Queensland Health Non Admitted Patient Data Collection (QHNAPDC)</w:t>
        </w:r>
      </w:sdtContent>
    </w:sdt>
    <w:r>
      <w:t xml:space="preserve"> - </w:t>
    </w:r>
    <w:sdt>
      <w:sdtPr>
        <w:alias w:val="Subject"/>
        <w:tag w:val=""/>
        <w:id w:val="-15861287"/>
        <w:placeholder>
          <w:docPart w:val="6D70FAB40F2B41BDB130576BEB531A10"/>
        </w:placeholder>
        <w:dataBinding w:prefixMappings="xmlns:ns0='http://purl.org/dc/elements/1.1/' xmlns:ns1='http://schemas.openxmlformats.org/package/2006/metadata/core-properties' " w:xpath="/ns1:coreProperties[1]/ns0:subject[1]" w:storeItemID="{6C3C8BC8-F283-45AE-878A-BAB7291924A1}"/>
        <w:text/>
      </w:sdtPr>
      <w:sdtEndPr/>
      <w:sdtContent>
        <w:r w:rsidR="00500D6A">
          <w:t>2024-2025 Business Rules</w:t>
        </w:r>
      </w:sdtContent>
    </w:sdt>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9F68" w14:textId="77777777" w:rsidR="00E55A2A" w:rsidRPr="00DB3896" w:rsidRDefault="00E55A2A" w:rsidP="00DB3896">
      <w:pPr>
        <w:spacing w:line="240" w:lineRule="auto"/>
        <w:rPr>
          <w:color w:val="D9D9D9" w:themeColor="background1" w:themeShade="D9"/>
        </w:rPr>
      </w:pPr>
      <w:r w:rsidRPr="007638A8">
        <w:rPr>
          <w:color w:val="D9D9D9" w:themeColor="background1" w:themeShade="D9"/>
        </w:rPr>
        <w:separator/>
      </w:r>
    </w:p>
    <w:p w14:paraId="546729ED" w14:textId="77777777" w:rsidR="00E55A2A" w:rsidRDefault="00E55A2A"/>
    <w:p w14:paraId="14C05E70" w14:textId="77777777" w:rsidR="00E55A2A" w:rsidRDefault="00E55A2A"/>
    <w:p w14:paraId="32F3B366" w14:textId="77777777" w:rsidR="00E55A2A" w:rsidRDefault="00E55A2A"/>
  </w:footnote>
  <w:footnote w:type="continuationSeparator" w:id="0">
    <w:p w14:paraId="187104B5" w14:textId="77777777" w:rsidR="00E55A2A" w:rsidRDefault="00E55A2A" w:rsidP="005655C9">
      <w:pPr>
        <w:spacing w:line="240" w:lineRule="auto"/>
      </w:pPr>
      <w:r>
        <w:continuationSeparator/>
      </w:r>
    </w:p>
    <w:p w14:paraId="42CE450F" w14:textId="77777777" w:rsidR="00E55A2A" w:rsidRDefault="00E55A2A"/>
    <w:p w14:paraId="7E3C17DA" w14:textId="77777777" w:rsidR="00E55A2A" w:rsidRDefault="00E55A2A" w:rsidP="00952B5B"/>
    <w:p w14:paraId="626C0A5E" w14:textId="77777777" w:rsidR="00E55A2A" w:rsidRDefault="00E55A2A" w:rsidP="00952B5B"/>
    <w:p w14:paraId="65D6A1DF" w14:textId="77777777" w:rsidR="00E55A2A" w:rsidRDefault="00E55A2A"/>
    <w:p w14:paraId="760CCD29" w14:textId="77777777" w:rsidR="00E55A2A" w:rsidRDefault="00E55A2A"/>
    <w:p w14:paraId="6427A656" w14:textId="77777777" w:rsidR="00E55A2A" w:rsidRDefault="00E55A2A"/>
    <w:p w14:paraId="6025289A" w14:textId="77777777" w:rsidR="00E55A2A" w:rsidRDefault="00E55A2A"/>
  </w:footnote>
  <w:footnote w:type="continuationNotice" w:id="1">
    <w:p w14:paraId="058B387D" w14:textId="77777777" w:rsidR="00D613D1" w:rsidRDefault="00D613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998B" w14:textId="77777777" w:rsidR="0019023A" w:rsidRDefault="003F003B">
    <w:pPr>
      <w:pStyle w:val="Header"/>
    </w:pPr>
    <w:r>
      <w:rPr>
        <w:noProof/>
      </w:rPr>
      <w:drawing>
        <wp:anchor distT="0" distB="0" distL="114300" distR="114300" simplePos="0" relativeHeight="251658241" behindDoc="1" locked="0" layoutInCell="1" allowOverlap="1" wp14:anchorId="0C6EFA22" wp14:editId="187EA326">
          <wp:simplePos x="0" y="0"/>
          <wp:positionH relativeFrom="page">
            <wp:posOffset>-57150</wp:posOffset>
          </wp:positionH>
          <wp:positionV relativeFrom="page">
            <wp:align>top</wp:align>
          </wp:positionV>
          <wp:extent cx="15120000" cy="3564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noChangeArrowheads="1"/>
                  </pic:cNvPicPr>
                </pic:nvPicPr>
                <pic:blipFill>
                  <a:blip r:embed="rId1"/>
                  <a:stretch>
                    <a:fillRect/>
                  </a:stretch>
                </pic:blipFill>
                <pic:spPr bwMode="auto">
                  <a:xfrm>
                    <a:off x="0" y="0"/>
                    <a:ext cx="15120000" cy="35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03BC4" w14:textId="77777777" w:rsidR="0019023A" w:rsidRDefault="001902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003" w14:textId="77777777" w:rsidR="002104FF" w:rsidRDefault="002104FF">
    <w:pPr>
      <w:pStyle w:val="Header"/>
    </w:pPr>
    <w:r>
      <w:rPr>
        <w:noProof/>
      </w:rPr>
      <w:drawing>
        <wp:anchor distT="0" distB="0" distL="114300" distR="114300" simplePos="0" relativeHeight="251658242" behindDoc="1" locked="0" layoutInCell="1" allowOverlap="1" wp14:anchorId="41301950" wp14:editId="6D47F0FF">
          <wp:simplePos x="0" y="0"/>
          <wp:positionH relativeFrom="page">
            <wp:posOffset>-57150</wp:posOffset>
          </wp:positionH>
          <wp:positionV relativeFrom="page">
            <wp:align>top</wp:align>
          </wp:positionV>
          <wp:extent cx="15120000" cy="356400"/>
          <wp:effectExtent l="0" t="0" r="0" b="571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noChangeArrowheads="1"/>
                  </pic:cNvPicPr>
                </pic:nvPicPr>
                <pic:blipFill>
                  <a:blip r:embed="rId1"/>
                  <a:stretch>
                    <a:fillRect/>
                  </a:stretch>
                </pic:blipFill>
                <pic:spPr bwMode="auto">
                  <a:xfrm>
                    <a:off x="0" y="0"/>
                    <a:ext cx="15120000" cy="35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BE729" w14:textId="77777777" w:rsidR="002104FF" w:rsidRDefault="00210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38E1794"/>
    <w:multiLevelType w:val="hybridMultilevel"/>
    <w:tmpl w:val="479A3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1E038F"/>
    <w:multiLevelType w:val="hybridMultilevel"/>
    <w:tmpl w:val="9F3091D6"/>
    <w:lvl w:ilvl="0" w:tplc="5248E900">
      <w:start w:val="1"/>
      <w:numFmt w:val="bullet"/>
      <w:pStyle w:val="BodySSBInde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235B2"/>
    <w:multiLevelType w:val="hybridMultilevel"/>
    <w:tmpl w:val="4410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21F6F"/>
    <w:multiLevelType w:val="hybridMultilevel"/>
    <w:tmpl w:val="4AFADFC0"/>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51DD7"/>
    <w:multiLevelType w:val="hybridMultilevel"/>
    <w:tmpl w:val="5BF652AA"/>
    <w:lvl w:ilvl="0" w:tplc="BFD4BDE8">
      <w:start w:val="1"/>
      <w:numFmt w:val="decimal"/>
      <w:lvlText w:val="%1."/>
      <w:lvlJc w:val="left"/>
      <w:pPr>
        <w:ind w:left="360" w:hanging="360"/>
      </w:pPr>
      <w:rPr>
        <w:rFonts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15:restartNumberingAfterBreak="0">
    <w:nsid w:val="249C25FF"/>
    <w:multiLevelType w:val="hybridMultilevel"/>
    <w:tmpl w:val="15B87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70CE7"/>
    <w:multiLevelType w:val="hybridMultilevel"/>
    <w:tmpl w:val="34AC1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A6FEB"/>
    <w:multiLevelType w:val="hybridMultilevel"/>
    <w:tmpl w:val="A1F48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393529E"/>
    <w:multiLevelType w:val="hybridMultilevel"/>
    <w:tmpl w:val="2F5A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0F2D35"/>
    <w:multiLevelType w:val="hybridMultilevel"/>
    <w:tmpl w:val="1BB42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FC362A"/>
    <w:multiLevelType w:val="hybridMultilevel"/>
    <w:tmpl w:val="1806D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8094328"/>
    <w:multiLevelType w:val="multilevel"/>
    <w:tmpl w:val="C2FE460C"/>
    <w:numStyleLink w:val="Bullets"/>
  </w:abstractNum>
  <w:abstractNum w:abstractNumId="17" w15:restartNumberingAfterBreak="0">
    <w:nsid w:val="49410600"/>
    <w:multiLevelType w:val="hybridMultilevel"/>
    <w:tmpl w:val="B180F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F484E3B"/>
    <w:multiLevelType w:val="hybridMultilevel"/>
    <w:tmpl w:val="87F8C3A6"/>
    <w:lvl w:ilvl="0" w:tplc="2B827670">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20" w15:restartNumberingAfterBreak="0">
    <w:nsid w:val="571E5850"/>
    <w:multiLevelType w:val="hybridMultilevel"/>
    <w:tmpl w:val="580A079E"/>
    <w:lvl w:ilvl="0" w:tplc="2B827670">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903CF6"/>
    <w:multiLevelType w:val="hybridMultilevel"/>
    <w:tmpl w:val="F28EF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0904803"/>
    <w:multiLevelType w:val="hybridMultilevel"/>
    <w:tmpl w:val="A7FE6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AA65FE"/>
    <w:multiLevelType w:val="hybridMultilevel"/>
    <w:tmpl w:val="3468E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C40C44"/>
    <w:multiLevelType w:val="hybridMultilevel"/>
    <w:tmpl w:val="71F89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2463180">
    <w:abstractNumId w:val="7"/>
  </w:num>
  <w:num w:numId="2" w16cid:durableId="251284047">
    <w:abstractNumId w:val="0"/>
  </w:num>
  <w:num w:numId="3" w16cid:durableId="1771270502">
    <w:abstractNumId w:val="15"/>
  </w:num>
  <w:num w:numId="4" w16cid:durableId="1794592526">
    <w:abstractNumId w:val="11"/>
  </w:num>
  <w:num w:numId="5" w16cid:durableId="35856777">
    <w:abstractNumId w:val="19"/>
  </w:num>
  <w:num w:numId="6" w16cid:durableId="1814713396">
    <w:abstractNumId w:val="16"/>
  </w:num>
  <w:num w:numId="7" w16cid:durableId="1072898170">
    <w:abstractNumId w:val="4"/>
  </w:num>
  <w:num w:numId="8" w16cid:durableId="1086268977">
    <w:abstractNumId w:val="5"/>
  </w:num>
  <w:num w:numId="9" w16cid:durableId="1495872129">
    <w:abstractNumId w:val="6"/>
  </w:num>
  <w:num w:numId="10" w16cid:durableId="269631251">
    <w:abstractNumId w:val="1"/>
  </w:num>
  <w:num w:numId="11" w16cid:durableId="2011911735">
    <w:abstractNumId w:val="21"/>
  </w:num>
  <w:num w:numId="12" w16cid:durableId="1215432487">
    <w:abstractNumId w:val="17"/>
  </w:num>
  <w:num w:numId="13" w16cid:durableId="563179895">
    <w:abstractNumId w:val="13"/>
  </w:num>
  <w:num w:numId="14" w16cid:durableId="1047224715">
    <w:abstractNumId w:val="12"/>
  </w:num>
  <w:num w:numId="15" w16cid:durableId="1319305239">
    <w:abstractNumId w:val="3"/>
  </w:num>
  <w:num w:numId="16" w16cid:durableId="356781558">
    <w:abstractNumId w:val="9"/>
  </w:num>
  <w:num w:numId="17" w16cid:durableId="1499150055">
    <w:abstractNumId w:val="24"/>
  </w:num>
  <w:num w:numId="18" w16cid:durableId="1954631838">
    <w:abstractNumId w:val="8"/>
  </w:num>
  <w:num w:numId="19" w16cid:durableId="1727996691">
    <w:abstractNumId w:val="18"/>
  </w:num>
  <w:num w:numId="20" w16cid:durableId="1250313085">
    <w:abstractNumId w:val="2"/>
  </w:num>
  <w:num w:numId="21" w16cid:durableId="1248608919">
    <w:abstractNumId w:val="20"/>
  </w:num>
  <w:num w:numId="22" w16cid:durableId="646740240">
    <w:abstractNumId w:val="14"/>
  </w:num>
  <w:num w:numId="23" w16cid:durableId="1816482260">
    <w:abstractNumId w:val="23"/>
  </w:num>
  <w:num w:numId="24" w16cid:durableId="1939098287">
    <w:abstractNumId w:val="22"/>
  </w:num>
  <w:num w:numId="25" w16cid:durableId="180079841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A6"/>
    <w:rsid w:val="0000006D"/>
    <w:rsid w:val="00002B1B"/>
    <w:rsid w:val="0000330E"/>
    <w:rsid w:val="00004C05"/>
    <w:rsid w:val="00007809"/>
    <w:rsid w:val="000102EE"/>
    <w:rsid w:val="00011ACB"/>
    <w:rsid w:val="00016271"/>
    <w:rsid w:val="000177FA"/>
    <w:rsid w:val="00020E27"/>
    <w:rsid w:val="00022D7A"/>
    <w:rsid w:val="00022DDB"/>
    <w:rsid w:val="00030AB2"/>
    <w:rsid w:val="000317F2"/>
    <w:rsid w:val="00033351"/>
    <w:rsid w:val="000379C7"/>
    <w:rsid w:val="00044550"/>
    <w:rsid w:val="0004535D"/>
    <w:rsid w:val="00047071"/>
    <w:rsid w:val="00050FE6"/>
    <w:rsid w:val="00054FA5"/>
    <w:rsid w:val="0005550F"/>
    <w:rsid w:val="000563EB"/>
    <w:rsid w:val="00056BD6"/>
    <w:rsid w:val="00060860"/>
    <w:rsid w:val="00065A54"/>
    <w:rsid w:val="00066B7B"/>
    <w:rsid w:val="000712C1"/>
    <w:rsid w:val="00071708"/>
    <w:rsid w:val="00073925"/>
    <w:rsid w:val="00077EFB"/>
    <w:rsid w:val="00082AE4"/>
    <w:rsid w:val="00082F11"/>
    <w:rsid w:val="0008374B"/>
    <w:rsid w:val="00090157"/>
    <w:rsid w:val="00091A60"/>
    <w:rsid w:val="00093BC2"/>
    <w:rsid w:val="000966DF"/>
    <w:rsid w:val="00096726"/>
    <w:rsid w:val="000970A8"/>
    <w:rsid w:val="00097362"/>
    <w:rsid w:val="000A06CE"/>
    <w:rsid w:val="000A0A62"/>
    <w:rsid w:val="000A0ACD"/>
    <w:rsid w:val="000A5480"/>
    <w:rsid w:val="000A5C61"/>
    <w:rsid w:val="000A66BF"/>
    <w:rsid w:val="000A71FA"/>
    <w:rsid w:val="000B2BCA"/>
    <w:rsid w:val="000B72B4"/>
    <w:rsid w:val="000C4228"/>
    <w:rsid w:val="000D154F"/>
    <w:rsid w:val="000D1BD8"/>
    <w:rsid w:val="000D31C5"/>
    <w:rsid w:val="000D3BDA"/>
    <w:rsid w:val="000E1F6E"/>
    <w:rsid w:val="000F1ED2"/>
    <w:rsid w:val="000F2801"/>
    <w:rsid w:val="001010D2"/>
    <w:rsid w:val="00102B00"/>
    <w:rsid w:val="00102FEC"/>
    <w:rsid w:val="0010338A"/>
    <w:rsid w:val="0010463C"/>
    <w:rsid w:val="00112956"/>
    <w:rsid w:val="00120109"/>
    <w:rsid w:val="00122C2E"/>
    <w:rsid w:val="001243D4"/>
    <w:rsid w:val="00124772"/>
    <w:rsid w:val="00130C62"/>
    <w:rsid w:val="00132864"/>
    <w:rsid w:val="00133282"/>
    <w:rsid w:val="00134678"/>
    <w:rsid w:val="00134B0A"/>
    <w:rsid w:val="001426FC"/>
    <w:rsid w:val="00142919"/>
    <w:rsid w:val="00154397"/>
    <w:rsid w:val="0015524D"/>
    <w:rsid w:val="001571B0"/>
    <w:rsid w:val="0016168E"/>
    <w:rsid w:val="00164159"/>
    <w:rsid w:val="00166E39"/>
    <w:rsid w:val="001702DA"/>
    <w:rsid w:val="00172DEA"/>
    <w:rsid w:val="001736DC"/>
    <w:rsid w:val="0018020F"/>
    <w:rsid w:val="0018177F"/>
    <w:rsid w:val="00181AA0"/>
    <w:rsid w:val="00182872"/>
    <w:rsid w:val="00182F3A"/>
    <w:rsid w:val="00183D5E"/>
    <w:rsid w:val="0018508C"/>
    <w:rsid w:val="0018576B"/>
    <w:rsid w:val="00186009"/>
    <w:rsid w:val="001870E3"/>
    <w:rsid w:val="0019023A"/>
    <w:rsid w:val="001A1C02"/>
    <w:rsid w:val="001A23D2"/>
    <w:rsid w:val="001A3417"/>
    <w:rsid w:val="001A5624"/>
    <w:rsid w:val="001A6159"/>
    <w:rsid w:val="001B0382"/>
    <w:rsid w:val="001B5203"/>
    <w:rsid w:val="001B71F5"/>
    <w:rsid w:val="001C11EA"/>
    <w:rsid w:val="001C3C51"/>
    <w:rsid w:val="001C7CD9"/>
    <w:rsid w:val="001D015E"/>
    <w:rsid w:val="001D060C"/>
    <w:rsid w:val="001D193E"/>
    <w:rsid w:val="001D765D"/>
    <w:rsid w:val="001E0619"/>
    <w:rsid w:val="001E0861"/>
    <w:rsid w:val="001E2A17"/>
    <w:rsid w:val="001E548D"/>
    <w:rsid w:val="001F053C"/>
    <w:rsid w:val="001F2B9E"/>
    <w:rsid w:val="001F61DE"/>
    <w:rsid w:val="001F7F46"/>
    <w:rsid w:val="001F7FBC"/>
    <w:rsid w:val="00200718"/>
    <w:rsid w:val="002036D7"/>
    <w:rsid w:val="00205C1E"/>
    <w:rsid w:val="002104FF"/>
    <w:rsid w:val="0021153E"/>
    <w:rsid w:val="002124F8"/>
    <w:rsid w:val="002134C7"/>
    <w:rsid w:val="00215B5B"/>
    <w:rsid w:val="00216D65"/>
    <w:rsid w:val="0021712B"/>
    <w:rsid w:val="0021783A"/>
    <w:rsid w:val="002210CE"/>
    <w:rsid w:val="002236D8"/>
    <w:rsid w:val="00224517"/>
    <w:rsid w:val="0022563B"/>
    <w:rsid w:val="002301B6"/>
    <w:rsid w:val="002309A1"/>
    <w:rsid w:val="002315D9"/>
    <w:rsid w:val="002318EA"/>
    <w:rsid w:val="002373F8"/>
    <w:rsid w:val="00240836"/>
    <w:rsid w:val="00240897"/>
    <w:rsid w:val="002449FC"/>
    <w:rsid w:val="00245840"/>
    <w:rsid w:val="00252398"/>
    <w:rsid w:val="0026072D"/>
    <w:rsid w:val="00264468"/>
    <w:rsid w:val="00264ABB"/>
    <w:rsid w:val="0026586D"/>
    <w:rsid w:val="00267FFD"/>
    <w:rsid w:val="00277858"/>
    <w:rsid w:val="00285E94"/>
    <w:rsid w:val="00287D05"/>
    <w:rsid w:val="00294E66"/>
    <w:rsid w:val="002A050A"/>
    <w:rsid w:val="002A05BC"/>
    <w:rsid w:val="002A2C12"/>
    <w:rsid w:val="002A4BB8"/>
    <w:rsid w:val="002A4E88"/>
    <w:rsid w:val="002B20E1"/>
    <w:rsid w:val="002B30A7"/>
    <w:rsid w:val="002B3AE6"/>
    <w:rsid w:val="002B5851"/>
    <w:rsid w:val="002D09C4"/>
    <w:rsid w:val="002D0FAA"/>
    <w:rsid w:val="002D21B7"/>
    <w:rsid w:val="002D26DD"/>
    <w:rsid w:val="002D5310"/>
    <w:rsid w:val="002D755A"/>
    <w:rsid w:val="002D7C78"/>
    <w:rsid w:val="002E077C"/>
    <w:rsid w:val="002E13DF"/>
    <w:rsid w:val="002E1D7D"/>
    <w:rsid w:val="002E363A"/>
    <w:rsid w:val="002E5BE6"/>
    <w:rsid w:val="002E6B9D"/>
    <w:rsid w:val="002E7170"/>
    <w:rsid w:val="002F37C8"/>
    <w:rsid w:val="002F39CA"/>
    <w:rsid w:val="003002C4"/>
    <w:rsid w:val="003013B1"/>
    <w:rsid w:val="0030150D"/>
    <w:rsid w:val="0030374B"/>
    <w:rsid w:val="00303C10"/>
    <w:rsid w:val="00314153"/>
    <w:rsid w:val="00314B98"/>
    <w:rsid w:val="00316B60"/>
    <w:rsid w:val="00316C21"/>
    <w:rsid w:val="00317E0F"/>
    <w:rsid w:val="00320415"/>
    <w:rsid w:val="0032406F"/>
    <w:rsid w:val="003324A5"/>
    <w:rsid w:val="00332CB0"/>
    <w:rsid w:val="00333D1A"/>
    <w:rsid w:val="003341F1"/>
    <w:rsid w:val="003353E9"/>
    <w:rsid w:val="003360C0"/>
    <w:rsid w:val="00340C85"/>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0788"/>
    <w:rsid w:val="0037411B"/>
    <w:rsid w:val="003753F8"/>
    <w:rsid w:val="00376393"/>
    <w:rsid w:val="00387381"/>
    <w:rsid w:val="003878E3"/>
    <w:rsid w:val="0039110A"/>
    <w:rsid w:val="00395EFF"/>
    <w:rsid w:val="003A2B34"/>
    <w:rsid w:val="003A2BE8"/>
    <w:rsid w:val="003A6203"/>
    <w:rsid w:val="003B0AD1"/>
    <w:rsid w:val="003B1457"/>
    <w:rsid w:val="003B6431"/>
    <w:rsid w:val="003B7ED7"/>
    <w:rsid w:val="003C775C"/>
    <w:rsid w:val="003D2D25"/>
    <w:rsid w:val="003D6063"/>
    <w:rsid w:val="003E174B"/>
    <w:rsid w:val="003E289A"/>
    <w:rsid w:val="003E5D10"/>
    <w:rsid w:val="003E6DCC"/>
    <w:rsid w:val="003E7CF3"/>
    <w:rsid w:val="003F003B"/>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0D49"/>
    <w:rsid w:val="00436F69"/>
    <w:rsid w:val="00442878"/>
    <w:rsid w:val="00444053"/>
    <w:rsid w:val="00444C11"/>
    <w:rsid w:val="0044735C"/>
    <w:rsid w:val="00447A4C"/>
    <w:rsid w:val="00460114"/>
    <w:rsid w:val="00460870"/>
    <w:rsid w:val="0046183E"/>
    <w:rsid w:val="00462408"/>
    <w:rsid w:val="00462C04"/>
    <w:rsid w:val="00462DC3"/>
    <w:rsid w:val="00463275"/>
    <w:rsid w:val="004652CC"/>
    <w:rsid w:val="00474C27"/>
    <w:rsid w:val="0047576D"/>
    <w:rsid w:val="0048181E"/>
    <w:rsid w:val="00482CC3"/>
    <w:rsid w:val="004831D3"/>
    <w:rsid w:val="00484A97"/>
    <w:rsid w:val="00485C79"/>
    <w:rsid w:val="0049594A"/>
    <w:rsid w:val="0049665A"/>
    <w:rsid w:val="004A027A"/>
    <w:rsid w:val="004A0768"/>
    <w:rsid w:val="004A0D0B"/>
    <w:rsid w:val="004A327A"/>
    <w:rsid w:val="004A4109"/>
    <w:rsid w:val="004B02A9"/>
    <w:rsid w:val="004B1898"/>
    <w:rsid w:val="004B2610"/>
    <w:rsid w:val="004B285B"/>
    <w:rsid w:val="004B3494"/>
    <w:rsid w:val="004B7A67"/>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0D6A"/>
    <w:rsid w:val="00505703"/>
    <w:rsid w:val="00510665"/>
    <w:rsid w:val="00513E2B"/>
    <w:rsid w:val="005205B8"/>
    <w:rsid w:val="00521B45"/>
    <w:rsid w:val="00524A14"/>
    <w:rsid w:val="005277E7"/>
    <w:rsid w:val="00531475"/>
    <w:rsid w:val="00531752"/>
    <w:rsid w:val="005433C7"/>
    <w:rsid w:val="0054704A"/>
    <w:rsid w:val="00553A02"/>
    <w:rsid w:val="00555240"/>
    <w:rsid w:val="00555902"/>
    <w:rsid w:val="0056004A"/>
    <w:rsid w:val="0056129F"/>
    <w:rsid w:val="005619DA"/>
    <w:rsid w:val="005655C9"/>
    <w:rsid w:val="00577AF8"/>
    <w:rsid w:val="00580230"/>
    <w:rsid w:val="0058662F"/>
    <w:rsid w:val="005871AA"/>
    <w:rsid w:val="005951EE"/>
    <w:rsid w:val="005965C9"/>
    <w:rsid w:val="00596729"/>
    <w:rsid w:val="005A2F1B"/>
    <w:rsid w:val="005A50DE"/>
    <w:rsid w:val="005A7842"/>
    <w:rsid w:val="005A7C02"/>
    <w:rsid w:val="005B2A03"/>
    <w:rsid w:val="005B3180"/>
    <w:rsid w:val="005B335E"/>
    <w:rsid w:val="005B69BA"/>
    <w:rsid w:val="005B6AEB"/>
    <w:rsid w:val="005C4771"/>
    <w:rsid w:val="005C545A"/>
    <w:rsid w:val="005C5D2A"/>
    <w:rsid w:val="005D4220"/>
    <w:rsid w:val="005D4AFC"/>
    <w:rsid w:val="005D5C48"/>
    <w:rsid w:val="005D6C99"/>
    <w:rsid w:val="005E07EE"/>
    <w:rsid w:val="005E2788"/>
    <w:rsid w:val="005E31C4"/>
    <w:rsid w:val="005E3D4E"/>
    <w:rsid w:val="005E473F"/>
    <w:rsid w:val="005E6FF2"/>
    <w:rsid w:val="005F05E4"/>
    <w:rsid w:val="005F1A39"/>
    <w:rsid w:val="005F715E"/>
    <w:rsid w:val="005F7246"/>
    <w:rsid w:val="0060037E"/>
    <w:rsid w:val="006046AE"/>
    <w:rsid w:val="00605790"/>
    <w:rsid w:val="006148F2"/>
    <w:rsid w:val="00614A68"/>
    <w:rsid w:val="00620877"/>
    <w:rsid w:val="00626F68"/>
    <w:rsid w:val="0063030B"/>
    <w:rsid w:val="006318A2"/>
    <w:rsid w:val="0063200E"/>
    <w:rsid w:val="006356F5"/>
    <w:rsid w:val="00637F9C"/>
    <w:rsid w:val="00645F45"/>
    <w:rsid w:val="00651025"/>
    <w:rsid w:val="00653729"/>
    <w:rsid w:val="00656B5D"/>
    <w:rsid w:val="00657619"/>
    <w:rsid w:val="00662BC3"/>
    <w:rsid w:val="00664CE9"/>
    <w:rsid w:val="00665627"/>
    <w:rsid w:val="00665FCD"/>
    <w:rsid w:val="0066702C"/>
    <w:rsid w:val="006764CE"/>
    <w:rsid w:val="006776EF"/>
    <w:rsid w:val="00682133"/>
    <w:rsid w:val="00685617"/>
    <w:rsid w:val="00687F0F"/>
    <w:rsid w:val="00691D31"/>
    <w:rsid w:val="00693878"/>
    <w:rsid w:val="00697A01"/>
    <w:rsid w:val="00697B33"/>
    <w:rsid w:val="006A24A6"/>
    <w:rsid w:val="006A4F86"/>
    <w:rsid w:val="006A630A"/>
    <w:rsid w:val="006B2063"/>
    <w:rsid w:val="006B3E00"/>
    <w:rsid w:val="006B5ADD"/>
    <w:rsid w:val="006C023D"/>
    <w:rsid w:val="006C3FB6"/>
    <w:rsid w:val="006D7458"/>
    <w:rsid w:val="006E5AB7"/>
    <w:rsid w:val="006F0A87"/>
    <w:rsid w:val="006F77E7"/>
    <w:rsid w:val="007110FF"/>
    <w:rsid w:val="007135A8"/>
    <w:rsid w:val="00724065"/>
    <w:rsid w:val="00725B28"/>
    <w:rsid w:val="0072754B"/>
    <w:rsid w:val="007321AB"/>
    <w:rsid w:val="00734807"/>
    <w:rsid w:val="0073685D"/>
    <w:rsid w:val="00737E63"/>
    <w:rsid w:val="007404B1"/>
    <w:rsid w:val="0074270E"/>
    <w:rsid w:val="00746618"/>
    <w:rsid w:val="00751572"/>
    <w:rsid w:val="00752D75"/>
    <w:rsid w:val="00753E0F"/>
    <w:rsid w:val="00757ADC"/>
    <w:rsid w:val="00762B5F"/>
    <w:rsid w:val="0076327F"/>
    <w:rsid w:val="007638A8"/>
    <w:rsid w:val="00763927"/>
    <w:rsid w:val="00766B20"/>
    <w:rsid w:val="007708DC"/>
    <w:rsid w:val="00771049"/>
    <w:rsid w:val="00772344"/>
    <w:rsid w:val="007723E0"/>
    <w:rsid w:val="00773A97"/>
    <w:rsid w:val="007740B0"/>
    <w:rsid w:val="007741DC"/>
    <w:rsid w:val="0078080C"/>
    <w:rsid w:val="00791250"/>
    <w:rsid w:val="00795804"/>
    <w:rsid w:val="0079737D"/>
    <w:rsid w:val="007976F1"/>
    <w:rsid w:val="007A0895"/>
    <w:rsid w:val="007A4105"/>
    <w:rsid w:val="007B5450"/>
    <w:rsid w:val="007B66B8"/>
    <w:rsid w:val="007B680B"/>
    <w:rsid w:val="007B7B0D"/>
    <w:rsid w:val="007B7BBC"/>
    <w:rsid w:val="007B7EA6"/>
    <w:rsid w:val="007C0D8F"/>
    <w:rsid w:val="007C2700"/>
    <w:rsid w:val="007C71ED"/>
    <w:rsid w:val="007D1EBB"/>
    <w:rsid w:val="007D1F6C"/>
    <w:rsid w:val="007D2DCB"/>
    <w:rsid w:val="007D344A"/>
    <w:rsid w:val="007E14D4"/>
    <w:rsid w:val="007E2E42"/>
    <w:rsid w:val="007E350E"/>
    <w:rsid w:val="007E3D08"/>
    <w:rsid w:val="007E6348"/>
    <w:rsid w:val="007E6AB3"/>
    <w:rsid w:val="007E7BA4"/>
    <w:rsid w:val="007F0726"/>
    <w:rsid w:val="007F282D"/>
    <w:rsid w:val="007F2BC9"/>
    <w:rsid w:val="007F316C"/>
    <w:rsid w:val="007F3642"/>
    <w:rsid w:val="007F76A2"/>
    <w:rsid w:val="008054DC"/>
    <w:rsid w:val="00805EBC"/>
    <w:rsid w:val="00814859"/>
    <w:rsid w:val="0081579E"/>
    <w:rsid w:val="00817B2D"/>
    <w:rsid w:val="0082074C"/>
    <w:rsid w:val="00822129"/>
    <w:rsid w:val="00830281"/>
    <w:rsid w:val="00830FE8"/>
    <w:rsid w:val="00831013"/>
    <w:rsid w:val="00832C6D"/>
    <w:rsid w:val="00836EDD"/>
    <w:rsid w:val="008377F1"/>
    <w:rsid w:val="008457C2"/>
    <w:rsid w:val="00846083"/>
    <w:rsid w:val="0085104D"/>
    <w:rsid w:val="00852B1F"/>
    <w:rsid w:val="00854337"/>
    <w:rsid w:val="00854FA5"/>
    <w:rsid w:val="00861F8A"/>
    <w:rsid w:val="008740C7"/>
    <w:rsid w:val="00875A14"/>
    <w:rsid w:val="00877276"/>
    <w:rsid w:val="00877CF6"/>
    <w:rsid w:val="00881501"/>
    <w:rsid w:val="0088273C"/>
    <w:rsid w:val="008911F2"/>
    <w:rsid w:val="00893741"/>
    <w:rsid w:val="00894BCD"/>
    <w:rsid w:val="008A402A"/>
    <w:rsid w:val="008A51D2"/>
    <w:rsid w:val="008A5C34"/>
    <w:rsid w:val="008A5E96"/>
    <w:rsid w:val="008B12D7"/>
    <w:rsid w:val="008B2422"/>
    <w:rsid w:val="008B2A5F"/>
    <w:rsid w:val="008C3FB9"/>
    <w:rsid w:val="008C42A9"/>
    <w:rsid w:val="008C6F37"/>
    <w:rsid w:val="008D0CFC"/>
    <w:rsid w:val="008D46FD"/>
    <w:rsid w:val="008D7AC0"/>
    <w:rsid w:val="008E0ED4"/>
    <w:rsid w:val="008E2440"/>
    <w:rsid w:val="008E4F5D"/>
    <w:rsid w:val="008E796B"/>
    <w:rsid w:val="008F0A07"/>
    <w:rsid w:val="008F0B95"/>
    <w:rsid w:val="008F22E2"/>
    <w:rsid w:val="008F62E7"/>
    <w:rsid w:val="008F6AC2"/>
    <w:rsid w:val="008F7945"/>
    <w:rsid w:val="009019A2"/>
    <w:rsid w:val="00901FFD"/>
    <w:rsid w:val="00903887"/>
    <w:rsid w:val="009053CF"/>
    <w:rsid w:val="00905500"/>
    <w:rsid w:val="00905B58"/>
    <w:rsid w:val="00907041"/>
    <w:rsid w:val="00907AE9"/>
    <w:rsid w:val="009111AB"/>
    <w:rsid w:val="00914181"/>
    <w:rsid w:val="00915748"/>
    <w:rsid w:val="00917AFE"/>
    <w:rsid w:val="00922111"/>
    <w:rsid w:val="009230D6"/>
    <w:rsid w:val="00923E23"/>
    <w:rsid w:val="009248CC"/>
    <w:rsid w:val="00926742"/>
    <w:rsid w:val="009302A2"/>
    <w:rsid w:val="00930FDA"/>
    <w:rsid w:val="00931347"/>
    <w:rsid w:val="009449B8"/>
    <w:rsid w:val="00946F75"/>
    <w:rsid w:val="00951E3A"/>
    <w:rsid w:val="00951FE1"/>
    <w:rsid w:val="00952B5B"/>
    <w:rsid w:val="00956111"/>
    <w:rsid w:val="00962036"/>
    <w:rsid w:val="00965079"/>
    <w:rsid w:val="00971732"/>
    <w:rsid w:val="00972649"/>
    <w:rsid w:val="00972803"/>
    <w:rsid w:val="00972F04"/>
    <w:rsid w:val="00973A16"/>
    <w:rsid w:val="00977881"/>
    <w:rsid w:val="0098031E"/>
    <w:rsid w:val="00980B41"/>
    <w:rsid w:val="00981D63"/>
    <w:rsid w:val="009827A3"/>
    <w:rsid w:val="009843B1"/>
    <w:rsid w:val="009848A1"/>
    <w:rsid w:val="00985D7E"/>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61F3"/>
    <w:rsid w:val="009C7AE2"/>
    <w:rsid w:val="009C7B93"/>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07BEE"/>
    <w:rsid w:val="00A13B67"/>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D51F7"/>
    <w:rsid w:val="00AE0F08"/>
    <w:rsid w:val="00AE5B2F"/>
    <w:rsid w:val="00AE5C3D"/>
    <w:rsid w:val="00AF3027"/>
    <w:rsid w:val="00AF5538"/>
    <w:rsid w:val="00AF556F"/>
    <w:rsid w:val="00AF6472"/>
    <w:rsid w:val="00B04798"/>
    <w:rsid w:val="00B05E4A"/>
    <w:rsid w:val="00B06EE7"/>
    <w:rsid w:val="00B10931"/>
    <w:rsid w:val="00B11763"/>
    <w:rsid w:val="00B117CB"/>
    <w:rsid w:val="00B11D7B"/>
    <w:rsid w:val="00B12F36"/>
    <w:rsid w:val="00B17E98"/>
    <w:rsid w:val="00B256B2"/>
    <w:rsid w:val="00B4092C"/>
    <w:rsid w:val="00B449AF"/>
    <w:rsid w:val="00B47CFC"/>
    <w:rsid w:val="00B47FB5"/>
    <w:rsid w:val="00B524D5"/>
    <w:rsid w:val="00B53736"/>
    <w:rsid w:val="00B5616B"/>
    <w:rsid w:val="00B56FCC"/>
    <w:rsid w:val="00B671B4"/>
    <w:rsid w:val="00B7199B"/>
    <w:rsid w:val="00B7210C"/>
    <w:rsid w:val="00B807B7"/>
    <w:rsid w:val="00B83398"/>
    <w:rsid w:val="00B8356D"/>
    <w:rsid w:val="00B83CE7"/>
    <w:rsid w:val="00B863E8"/>
    <w:rsid w:val="00B934CF"/>
    <w:rsid w:val="00B934FA"/>
    <w:rsid w:val="00B93ED4"/>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C0205C"/>
    <w:rsid w:val="00C02F45"/>
    <w:rsid w:val="00C03652"/>
    <w:rsid w:val="00C044C3"/>
    <w:rsid w:val="00C05A67"/>
    <w:rsid w:val="00C07530"/>
    <w:rsid w:val="00C104B1"/>
    <w:rsid w:val="00C120CD"/>
    <w:rsid w:val="00C137F1"/>
    <w:rsid w:val="00C1570F"/>
    <w:rsid w:val="00C202BD"/>
    <w:rsid w:val="00C230FB"/>
    <w:rsid w:val="00C2449F"/>
    <w:rsid w:val="00C2766C"/>
    <w:rsid w:val="00C31308"/>
    <w:rsid w:val="00C406BB"/>
    <w:rsid w:val="00C411F6"/>
    <w:rsid w:val="00C44CC2"/>
    <w:rsid w:val="00C463CB"/>
    <w:rsid w:val="00C50FF0"/>
    <w:rsid w:val="00C62BF6"/>
    <w:rsid w:val="00C66D8F"/>
    <w:rsid w:val="00C673B8"/>
    <w:rsid w:val="00C71484"/>
    <w:rsid w:val="00C76224"/>
    <w:rsid w:val="00C76568"/>
    <w:rsid w:val="00C87562"/>
    <w:rsid w:val="00C90EDA"/>
    <w:rsid w:val="00C932DA"/>
    <w:rsid w:val="00CA7AC3"/>
    <w:rsid w:val="00CB1027"/>
    <w:rsid w:val="00CB3B98"/>
    <w:rsid w:val="00CB3E87"/>
    <w:rsid w:val="00CB43C6"/>
    <w:rsid w:val="00CB538A"/>
    <w:rsid w:val="00CB5CB5"/>
    <w:rsid w:val="00CB6A45"/>
    <w:rsid w:val="00CC1AC6"/>
    <w:rsid w:val="00CC513A"/>
    <w:rsid w:val="00CC51DE"/>
    <w:rsid w:val="00CD7DBC"/>
    <w:rsid w:val="00CE2F66"/>
    <w:rsid w:val="00CE5B34"/>
    <w:rsid w:val="00CE646D"/>
    <w:rsid w:val="00CF2A7E"/>
    <w:rsid w:val="00CF3E36"/>
    <w:rsid w:val="00CF6AFB"/>
    <w:rsid w:val="00CF766A"/>
    <w:rsid w:val="00D03115"/>
    <w:rsid w:val="00D10DD7"/>
    <w:rsid w:val="00D11582"/>
    <w:rsid w:val="00D13552"/>
    <w:rsid w:val="00D13EAF"/>
    <w:rsid w:val="00D14E99"/>
    <w:rsid w:val="00D16F4F"/>
    <w:rsid w:val="00D17033"/>
    <w:rsid w:val="00D17773"/>
    <w:rsid w:val="00D20CB3"/>
    <w:rsid w:val="00D228BB"/>
    <w:rsid w:val="00D22C9C"/>
    <w:rsid w:val="00D244C0"/>
    <w:rsid w:val="00D27CB8"/>
    <w:rsid w:val="00D313E4"/>
    <w:rsid w:val="00D3185F"/>
    <w:rsid w:val="00D32D5D"/>
    <w:rsid w:val="00D35386"/>
    <w:rsid w:val="00D43891"/>
    <w:rsid w:val="00D43A52"/>
    <w:rsid w:val="00D4442B"/>
    <w:rsid w:val="00D449B2"/>
    <w:rsid w:val="00D45B89"/>
    <w:rsid w:val="00D469D4"/>
    <w:rsid w:val="00D473F1"/>
    <w:rsid w:val="00D613D1"/>
    <w:rsid w:val="00D62DA7"/>
    <w:rsid w:val="00D635C0"/>
    <w:rsid w:val="00D67089"/>
    <w:rsid w:val="00D707FE"/>
    <w:rsid w:val="00D72439"/>
    <w:rsid w:val="00D76DB7"/>
    <w:rsid w:val="00D82B75"/>
    <w:rsid w:val="00D851C4"/>
    <w:rsid w:val="00D90EB7"/>
    <w:rsid w:val="00D951C8"/>
    <w:rsid w:val="00D96285"/>
    <w:rsid w:val="00D97072"/>
    <w:rsid w:val="00DA2339"/>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887"/>
    <w:rsid w:val="00DD6C40"/>
    <w:rsid w:val="00DE0853"/>
    <w:rsid w:val="00DE0DF5"/>
    <w:rsid w:val="00DE21EB"/>
    <w:rsid w:val="00DE2899"/>
    <w:rsid w:val="00DE2967"/>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33AF2"/>
    <w:rsid w:val="00E4144B"/>
    <w:rsid w:val="00E431E8"/>
    <w:rsid w:val="00E459DF"/>
    <w:rsid w:val="00E52162"/>
    <w:rsid w:val="00E5262D"/>
    <w:rsid w:val="00E54DBD"/>
    <w:rsid w:val="00E55A2A"/>
    <w:rsid w:val="00E568AC"/>
    <w:rsid w:val="00E57CAA"/>
    <w:rsid w:val="00E61BF9"/>
    <w:rsid w:val="00E646DE"/>
    <w:rsid w:val="00E6674B"/>
    <w:rsid w:val="00E7314E"/>
    <w:rsid w:val="00E75E04"/>
    <w:rsid w:val="00E77388"/>
    <w:rsid w:val="00E77B5A"/>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B0"/>
    <w:rsid w:val="00EA7E04"/>
    <w:rsid w:val="00EB08B0"/>
    <w:rsid w:val="00EB0AD5"/>
    <w:rsid w:val="00EB0EA5"/>
    <w:rsid w:val="00EB1B9D"/>
    <w:rsid w:val="00EB3319"/>
    <w:rsid w:val="00EB3794"/>
    <w:rsid w:val="00EB618E"/>
    <w:rsid w:val="00EB7F8E"/>
    <w:rsid w:val="00EC23A5"/>
    <w:rsid w:val="00EC2651"/>
    <w:rsid w:val="00EC2F29"/>
    <w:rsid w:val="00EC4A02"/>
    <w:rsid w:val="00EC687D"/>
    <w:rsid w:val="00ED0C03"/>
    <w:rsid w:val="00ED1EEA"/>
    <w:rsid w:val="00ED2CB9"/>
    <w:rsid w:val="00EE1379"/>
    <w:rsid w:val="00EE265E"/>
    <w:rsid w:val="00EE42A6"/>
    <w:rsid w:val="00EF0574"/>
    <w:rsid w:val="00EF3ABA"/>
    <w:rsid w:val="00EF3C10"/>
    <w:rsid w:val="00EF3E95"/>
    <w:rsid w:val="00EF7552"/>
    <w:rsid w:val="00F03A86"/>
    <w:rsid w:val="00F048B4"/>
    <w:rsid w:val="00F06ABD"/>
    <w:rsid w:val="00F07435"/>
    <w:rsid w:val="00F10895"/>
    <w:rsid w:val="00F12C32"/>
    <w:rsid w:val="00F13769"/>
    <w:rsid w:val="00F138F9"/>
    <w:rsid w:val="00F1485D"/>
    <w:rsid w:val="00F20276"/>
    <w:rsid w:val="00F223F7"/>
    <w:rsid w:val="00F224BC"/>
    <w:rsid w:val="00F252A1"/>
    <w:rsid w:val="00F3079B"/>
    <w:rsid w:val="00F31BDB"/>
    <w:rsid w:val="00F350C7"/>
    <w:rsid w:val="00F4281E"/>
    <w:rsid w:val="00F42EEC"/>
    <w:rsid w:val="00F459D4"/>
    <w:rsid w:val="00F46F9F"/>
    <w:rsid w:val="00F47102"/>
    <w:rsid w:val="00F51FF4"/>
    <w:rsid w:val="00F60ED0"/>
    <w:rsid w:val="00F63D14"/>
    <w:rsid w:val="00F66FED"/>
    <w:rsid w:val="00F6707A"/>
    <w:rsid w:val="00F67A7E"/>
    <w:rsid w:val="00F70158"/>
    <w:rsid w:val="00F70E9D"/>
    <w:rsid w:val="00F713E1"/>
    <w:rsid w:val="00F724C6"/>
    <w:rsid w:val="00F750A6"/>
    <w:rsid w:val="00F77D27"/>
    <w:rsid w:val="00F80A60"/>
    <w:rsid w:val="00F823F2"/>
    <w:rsid w:val="00F83EF8"/>
    <w:rsid w:val="00F843E4"/>
    <w:rsid w:val="00F84F01"/>
    <w:rsid w:val="00F86194"/>
    <w:rsid w:val="00F90608"/>
    <w:rsid w:val="00F914C5"/>
    <w:rsid w:val="00F915ED"/>
    <w:rsid w:val="00F9792A"/>
    <w:rsid w:val="00FA12CD"/>
    <w:rsid w:val="00FA330E"/>
    <w:rsid w:val="00FA4298"/>
    <w:rsid w:val="00FA5B33"/>
    <w:rsid w:val="00FA7309"/>
    <w:rsid w:val="00FB0A93"/>
    <w:rsid w:val="00FB0D79"/>
    <w:rsid w:val="00FB3F55"/>
    <w:rsid w:val="00FB5F87"/>
    <w:rsid w:val="00FB6A71"/>
    <w:rsid w:val="00FB7898"/>
    <w:rsid w:val="00FC1E89"/>
    <w:rsid w:val="00FD12A8"/>
    <w:rsid w:val="00FD19C7"/>
    <w:rsid w:val="00FD54F1"/>
    <w:rsid w:val="00FD5666"/>
    <w:rsid w:val="00FD5BD8"/>
    <w:rsid w:val="00FE25C5"/>
    <w:rsid w:val="00FE4A21"/>
    <w:rsid w:val="00FE5B25"/>
    <w:rsid w:val="00FE5EC8"/>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752F2"/>
  <w14:discardImageEditingData/>
  <w14:defaultImageDpi w14:val="330"/>
  <w15:chartTrackingRefBased/>
  <w15:docId w15:val="{1863AAED-1C8E-4D6D-961A-ADE5C03A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uiPriority w:val="9"/>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4"/>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4"/>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4"/>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4"/>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9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39"/>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39"/>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50"/>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50"/>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99"/>
    <w:semiHidden/>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basedOn w:val="BodyText"/>
    <w:uiPriority w:val="99"/>
    <w:semiHidden/>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uiPriority w:val="20"/>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uiPriority w:val="18"/>
    <w:qFormat/>
    <w:rsid w:val="008D7AC0"/>
    <w:pPr>
      <w:numPr>
        <w:numId w:val="6"/>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4"/>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4"/>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4"/>
      </w:numPr>
      <w:tabs>
        <w:tab w:val="left" w:pos="900"/>
      </w:tabs>
    </w:pPr>
  </w:style>
  <w:style w:type="paragraph" w:customStyle="1" w:styleId="NumberedHeading4">
    <w:name w:val="Numbered Heading 4"/>
    <w:basedOn w:val="Heading4"/>
    <w:next w:val="BodyText"/>
    <w:uiPriority w:val="16"/>
    <w:qFormat/>
    <w:rsid w:val="00F1485D"/>
    <w:pPr>
      <w:numPr>
        <w:ilvl w:val="3"/>
        <w:numId w:val="4"/>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
      </w:numPr>
      <w:tabs>
        <w:tab w:val="clear" w:pos="3600"/>
        <w:tab w:val="num" w:pos="360"/>
      </w:tabs>
      <w:ind w:left="0" w:firstLine="0"/>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5"/>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3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2"/>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uiPriority w:val="18"/>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1"/>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7"/>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 w:type="paragraph" w:customStyle="1" w:styleId="TableText">
    <w:name w:val="Table Text"/>
    <w:basedOn w:val="Normal"/>
    <w:qFormat/>
    <w:rsid w:val="00C03652"/>
    <w:pPr>
      <w:spacing w:after="120" w:line="240" w:lineRule="auto"/>
      <w:jc w:val="center"/>
    </w:pPr>
    <w:rPr>
      <w:rFonts w:ascii="Arial" w:eastAsia="MS PGothic" w:hAnsi="Arial" w:cs="Arial"/>
      <w:color w:val="auto"/>
      <w:sz w:val="20"/>
      <w:szCs w:val="20"/>
      <w:lang w:val="en-AU"/>
    </w:rPr>
  </w:style>
  <w:style w:type="paragraph" w:customStyle="1" w:styleId="BodySSBIndent">
    <w:name w:val="Body SSB Indent"/>
    <w:basedOn w:val="Normal"/>
    <w:link w:val="BodySSBIndentChar"/>
    <w:qFormat/>
    <w:rsid w:val="00C03652"/>
    <w:pPr>
      <w:numPr>
        <w:numId w:val="20"/>
      </w:numPr>
      <w:spacing w:after="120" w:line="240" w:lineRule="auto"/>
    </w:pPr>
    <w:rPr>
      <w:rFonts w:ascii="Arial" w:eastAsia="MS PGothic" w:hAnsi="Arial" w:cs="Arial"/>
      <w:color w:val="auto"/>
      <w:sz w:val="22"/>
      <w:szCs w:val="22"/>
      <w:lang w:val="en-AU"/>
    </w:rPr>
  </w:style>
  <w:style w:type="character" w:customStyle="1" w:styleId="BodySSBIndentChar">
    <w:name w:val="Body SSB Indent Char"/>
    <w:link w:val="BodySSBIndent"/>
    <w:rsid w:val="00C03652"/>
    <w:rPr>
      <w:rFonts w:ascii="Arial" w:eastAsia="MS PGothic" w:hAnsi="Arial" w:cs="Arial"/>
      <w:color w:val="auto"/>
      <w:sz w:val="22"/>
      <w:szCs w:val="22"/>
    </w:rPr>
  </w:style>
  <w:style w:type="character" w:styleId="CommentReference">
    <w:name w:val="annotation reference"/>
    <w:basedOn w:val="DefaultParagraphFont"/>
    <w:uiPriority w:val="99"/>
    <w:semiHidden/>
    <w:unhideWhenUsed/>
    <w:rsid w:val="00E75E04"/>
    <w:rPr>
      <w:sz w:val="16"/>
      <w:szCs w:val="16"/>
    </w:rPr>
  </w:style>
  <w:style w:type="paragraph" w:styleId="Revision">
    <w:name w:val="Revision"/>
    <w:hidden/>
    <w:uiPriority w:val="99"/>
    <w:semiHidden/>
    <w:rsid w:val="00340C85"/>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hyperlink" Target="https://oascrasprod.health.qld.gov.au:8443/ords/f?p=103:DE_DETAIL::DE:NO::P7_SEQ_ID:179997&amp;cs=1E9AE2765651C7041774A183898B0445A" TargetMode="External"/><Relationship Id="rId39" Type="http://schemas.openxmlformats.org/officeDocument/2006/relationships/hyperlink" Target="https://qhdd.health.qld.gov.au/apex/f?p=103:DE_DETAIL:::::P7_SEQ_ID:46121&amp;cs=1CF99F54929B538DFC8B8ED48CD93F3A5" TargetMode="External"/><Relationship Id="rId21" Type="http://schemas.openxmlformats.org/officeDocument/2006/relationships/hyperlink" Target="https://qhdd.health.qld.gov.au/apex/f?p=103:DE_DETAIL::DE:::P7_SEQ_ID:43924&amp;cs=1A376CE632DEBC4EDB77BA6385BDE139E" TargetMode="External"/><Relationship Id="rId34" Type="http://schemas.openxmlformats.org/officeDocument/2006/relationships/hyperlink" Target="https://qhdd.health.qld.gov.au/apex/f?p=103:DE_DETAIL:::::P7_SEQ_ID:45815&amp;cs=18BB70F7B83BA4E95584CC7C276DB8365" TargetMode="External"/><Relationship Id="rId42" Type="http://schemas.openxmlformats.org/officeDocument/2006/relationships/hyperlink" Target="https://qhdd.health.qld.gov.au/apex/f?p=103:DE_DETAIL:::::P7_SEQ_ID:46121&amp;cs=1CF99F54929B538DFC8B8ED48CD93F3A5" TargetMode="External"/><Relationship Id="rId47" Type="http://schemas.openxmlformats.org/officeDocument/2006/relationships/hyperlink" Target="https://oascrasprod.health.qld.gov.au:8443/ords/f?p=103:210:::NO:RP:P210_MR_GUID:272498C864A944EBE06400144FFA9F0B&amp;cs=147BEFF4A6438CAFC9D520B909E2E35CE" TargetMode="External"/><Relationship Id="rId50" Type="http://schemas.openxmlformats.org/officeDocument/2006/relationships/hyperlink" Target="https://qhdd.health.qld.gov.au/apex/f?p=103:DE_DETAIL:::::P7_SEQ_ID:43926&amp;cs=186116CE895A0C30F60256F6C3B8B8138" TargetMode="External"/><Relationship Id="rId55" Type="http://schemas.openxmlformats.org/officeDocument/2006/relationships/hyperlink" Target="https://meteor.aihw.gov.au/content/732562" TargetMode="External"/><Relationship Id="rId63"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qhdd.health.qld.gov.au/apex/f?p=103:DE_DETAIL::DE:::P7_SEQ_ID:44292&amp;cs=1BC09DEF6BCA2989E9B78FF6722D3D4F3" TargetMode="External"/><Relationship Id="rId29" Type="http://schemas.openxmlformats.org/officeDocument/2006/relationships/hyperlink" Target="https://www.health.qld.gov.au/__data/assets/excel_doc/0022/1321168/2024-2025-QHNAPDC-file-format.xlsx" TargetMode="External"/><Relationship Id="rId41" Type="http://schemas.openxmlformats.org/officeDocument/2006/relationships/hyperlink" Target="https://qhdd.health.qld.gov.au/apex/f?p=103:DE_DETAIL:::::P7_SEQ_ID:45816&amp;cs=114770CD3F3864C4215E3D74EA01230F1" TargetMode="External"/><Relationship Id="rId54" Type="http://schemas.openxmlformats.org/officeDocument/2006/relationships/hyperlink" Target="https://www.health.qld.gov.au/__data/assets/excel_doc/0030/1326378/QHNAPDC-Clinic-Mapping-and-Business-Rules-6-7-10-12-14-from-01-July-2024.xlsx" TargetMode="External"/><Relationship Id="rId62" Type="http://schemas.openxmlformats.org/officeDocument/2006/relationships/hyperlink" Target="https://www.health.qld.gov.au/__data/assets/excel_doc/0030/1326378/QHNAPDC-Clinic-Mapping-and-Business-Rules-6-7-10-12-14-from-01-July-2024.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qhdd.health.qld.gov.au/apex/f?p=103:DE_DETAIL:::::P7_SEQ_ID:41907&amp;cs=1215D137EDF9BD4CD31DEA6D3442E5DAC" TargetMode="External"/><Relationship Id="rId32" Type="http://schemas.openxmlformats.org/officeDocument/2006/relationships/hyperlink" Target="https://qhdd.health.qld.gov.au/apex/f?p=103:DE_DETAIL:::::P7_SEQ_ID:45815&amp;cs=18BB70F7B83BA4E95584CC7C276DB8365" TargetMode="External"/><Relationship Id="rId37" Type="http://schemas.openxmlformats.org/officeDocument/2006/relationships/hyperlink" Target="https://qhdd.health.qld.gov.au/apex/f?p=103:DE_DETAIL:::::P7_SEQ_ID:45815&amp;cs=18BB70F7B83BA4E95584CC7C276DB8365" TargetMode="External"/><Relationship Id="rId40" Type="http://schemas.openxmlformats.org/officeDocument/2006/relationships/hyperlink" Target="https://qhdd.health.qld.gov.au/apex/f?p=103:DE_DETAIL:::::P7_SEQ_ID:43926&amp;cs=186116CE895A0C30F60256F6C3B8B8138" TargetMode="External"/><Relationship Id="rId45" Type="http://schemas.openxmlformats.org/officeDocument/2006/relationships/hyperlink" Target="https://oascrasprod.health.qld.gov.au:8443/ords/f?p=103:210:::NO:RP:P210_MR_GUID:272498C864A944EBE06400144FFA9F0B&amp;cs=147BEFF4A6438CAFC9D520B909E2E35CE" TargetMode="External"/><Relationship Id="rId53" Type="http://schemas.openxmlformats.org/officeDocument/2006/relationships/hyperlink" Target="https://oascrasprod.health.qld.gov.au:8443/ords/f?p=103:210:::NO:RP:P210_MD_TYPE_GUID,P210_MR_GUID:D2840284A6761A97E05400144FF88D90,26B156B641C26626E06400144FFA9F0B&amp;cs=166511D0DAE53BA2F22266BF0F9406269" TargetMode="External"/><Relationship Id="rId58" Type="http://schemas.openxmlformats.org/officeDocument/2006/relationships/hyperlink" Target="https://qhdd.health.qld.gov.au/apex/f?p=103:DE_DETAIL:::::P7_SEQ_ID:43926&amp;cs=186116CE895A0C30F60256F6C3B8B8138"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qld.gov.au/hsu/collections/qhnapdc" TargetMode="External"/><Relationship Id="rId23" Type="http://schemas.openxmlformats.org/officeDocument/2006/relationships/hyperlink" Target="https://oascrasprod.health.qld.gov.au:8443/ords/f?p=103:DE_DETAIL::DE:NO::P7_SEQ_ID:179987&amp;cs=1DAC0D2BCD58E56CE2FDC91E71723465A" TargetMode="External"/><Relationship Id="rId28" Type="http://schemas.openxmlformats.org/officeDocument/2006/relationships/hyperlink" Target="https://www.health.qld.gov.au/__data/assets/excel_doc/0022/1321168/2024-2025-QHNAPDC-file-format.xlsx" TargetMode="External"/><Relationship Id="rId36" Type="http://schemas.openxmlformats.org/officeDocument/2006/relationships/hyperlink" Target="https://qhdd.health.qld.gov.au/apex/f?p=103:DE_DETAIL:::::P7_SEQ_ID:45815&amp;cs=18BB70F7B83BA4E95584CC7C276DB8365" TargetMode="External"/><Relationship Id="rId49" Type="http://schemas.openxmlformats.org/officeDocument/2006/relationships/hyperlink" Target="https://oascrasprod.health.qld.gov.au:8443/ords/f?p=103:210:::NO:RP:P210_MD_TYPE_GUID,P210_MR_GUID:D2840284A6761A97E05400144FF88D90,26B156B641C26626E06400144FFA9F0B&amp;cs=166511D0DAE53BA2F22266BF0F9406269" TargetMode="External"/><Relationship Id="rId57" Type="http://schemas.openxmlformats.org/officeDocument/2006/relationships/hyperlink" Target="https://qhdd.health.qld.gov.au/apex/f?p=103:DE_DETAIL:::::P7_SEQ_ID:46121&amp;cs=1CF99F54929B538DFC8B8ED48CD93F3A5" TargetMode="External"/><Relationship Id="rId61" Type="http://schemas.openxmlformats.org/officeDocument/2006/relationships/hyperlink" Target="https://qhdd.health.qld.gov.au/apex/f?p=103:DE_DETAIL:::::P7_SEQ_ID:46050&amp;cs=18DE42125AE1DD8EB4E678B5B54B35699" TargetMode="External"/><Relationship Id="rId10" Type="http://schemas.openxmlformats.org/officeDocument/2006/relationships/webSettings" Target="webSettings.xml"/><Relationship Id="rId19" Type="http://schemas.openxmlformats.org/officeDocument/2006/relationships/hyperlink" Target="https://qhdd.health.qld.gov.au/apex/f?p=103:DE_DETAIL::DE:::P7_SEQ_ID:44292&amp;cs=1BC09DEF6BCA2989E9B78FF6722D3D4F3" TargetMode="External"/><Relationship Id="rId31" Type="http://schemas.openxmlformats.org/officeDocument/2006/relationships/hyperlink" Target="https://www.health.qld.gov.au/__data/assets/word_doc/0029/1326638/Attribute-QHNAPDC-data-to-a-reporting-facility.docx" TargetMode="External"/><Relationship Id="rId44" Type="http://schemas.openxmlformats.org/officeDocument/2006/relationships/hyperlink" Target="https://qhdd.health.qld.gov.au/apex/f?p=103:DE_DETAIL:::::P7_SEQ_ID:46121&amp;cs=1CF99F54929B538DFC8B8ED48CD93F3A5" TargetMode="External"/><Relationship Id="rId52" Type="http://schemas.openxmlformats.org/officeDocument/2006/relationships/hyperlink" Target="https://oascrasprod.health.qld.gov.au:8443/ords/f?p=103:DE_DETAIL::DE:NO::P7_SEQ_ID:179987&amp;cs=1DAC0D2BCD58E56CE2FDC91E71723465A" TargetMode="External"/><Relationship Id="rId60" Type="http://schemas.openxmlformats.org/officeDocument/2006/relationships/hyperlink" Target="https://oascrasprod.health.qld.gov.au:8443/ords/f?p=103:210:::NO:RP:P210_MR_GUID:131C326DD65D3748E06400144FFA9F0B&amp;cs=130783F69962FA74E6F3C9344A6F3C0F6"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qhdd.health.qld.gov.au/apex/f?p=103:DE_DETAIL::DE:::P7_SEQ_ID:44292&amp;cs=1BC09DEF6BCA2989E9B78FF6722D3D4F3" TargetMode="External"/><Relationship Id="rId27" Type="http://schemas.openxmlformats.org/officeDocument/2006/relationships/hyperlink" Target="https://qhdd.health.qld.gov.au/apex/f?p=103:DE_DETAIL:::::P7_SEQ_ID:43926&amp;cs=186116CE895A0C30F60256F6C3B8B8138" TargetMode="External"/><Relationship Id="rId30" Type="http://schemas.openxmlformats.org/officeDocument/2006/relationships/hyperlink" Target="https://oascrasprod.health.qld.gov.au:8443/ords/f?p=103:DE_DETAIL::DE:NO::P7_SEQ_ID:179987&amp;cs=1DAC0D2BCD58E56CE2FDC91E71723465A" TargetMode="External"/><Relationship Id="rId35" Type="http://schemas.openxmlformats.org/officeDocument/2006/relationships/hyperlink" Target="https://www.health.qld.gov.au/__data/assets/excel_doc/0030/1326378/QHNAPDC-Clinic-Mapping-and-Business-Rules-6-7-10-12-14-from-01-July-2024.xlsx" TargetMode="External"/><Relationship Id="rId43" Type="http://schemas.openxmlformats.org/officeDocument/2006/relationships/hyperlink" Target="https://qhdd.health.qld.gov.au/apex/f?p=103:DE_DETAIL:::::P7_SEQ_ID:43926&amp;cs=186116CE895A0C30F60256F6C3B8B8138" TargetMode="External"/><Relationship Id="rId48" Type="http://schemas.openxmlformats.org/officeDocument/2006/relationships/hyperlink" Target="https://oascrasprod.health.qld.gov.au:8443/ords/f?p=103:DE_DETAIL::DE:NO::P7_SEQ_ID:179987&amp;cs=1DAC0D2BCD58E56CE2FDC91E71723465A" TargetMode="External"/><Relationship Id="rId56" Type="http://schemas.openxmlformats.org/officeDocument/2006/relationships/hyperlink" Target="https://meteor.aihw.gov.au/content/727749"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oascrasprod.health.qld.gov.au:8443/ords/f?p=103:210:::NO:RP:P210_MR_GUID:272498C864A944EBE06400144FFA9F0B&amp;cs=147BEFF4A6438CAFC9D520B909E2E35C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qhdd.health.qld.gov.au/apex/f?p=103:DE_DETAIL:::::P7_SEQ_ID:44118&amp;cs=1244A07B10B2944ED44932A0F1009D1BC" TargetMode="External"/><Relationship Id="rId33" Type="http://schemas.openxmlformats.org/officeDocument/2006/relationships/hyperlink" Target="https://www.health.qld.gov.au/__data/assets/excel_doc/0030/1326378/QHNAPDC-Clinic-Mapping-and-Business-Rules-6-7-10-12-14-from-01-July-2024.xlsx" TargetMode="External"/><Relationship Id="rId38" Type="http://schemas.openxmlformats.org/officeDocument/2006/relationships/hyperlink" Target="https://qhdd.health.qld.gov.au/apex/f?p=103:DE_DETAIL:::::P7_SEQ_ID:45815&amp;cs=18BB70F7B83BA4E95584CC7C276DB8365" TargetMode="External"/><Relationship Id="rId46" Type="http://schemas.openxmlformats.org/officeDocument/2006/relationships/hyperlink" Target="https://qhdd.health.qld.gov.au/apex/f?p=103:DE_DETAIL:::::P7_SEQ_ID:43926&amp;cs=186116CE895A0C30F60256F6C3B8B8138" TargetMode="External"/><Relationship Id="rId59" Type="http://schemas.openxmlformats.org/officeDocument/2006/relationships/hyperlink" Target="https://oascrasprod.health.qld.gov.au:8443/ords/f?p=103:DE_DETAIL::DE:NO::P7_SEQ_ID:179987&amp;cs=1DAC0D2BCD58E56CE2FDC91E71723465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2328531384A41868CD2E9E2472951"/>
        <w:category>
          <w:name w:val="General"/>
          <w:gallery w:val="placeholder"/>
        </w:category>
        <w:types>
          <w:type w:val="bbPlcHdr"/>
        </w:types>
        <w:behaviors>
          <w:behavior w:val="content"/>
        </w:behaviors>
        <w:guid w:val="{F58414D0-72BD-4996-B5F1-6C52C814F186}"/>
      </w:docPartPr>
      <w:docPartBody>
        <w:p w:rsidR="004D26EC" w:rsidRDefault="00005A84">
          <w:pPr>
            <w:pStyle w:val="0B22328531384A41868CD2E9E2472951"/>
          </w:pPr>
          <w:r w:rsidRPr="001A5BE2">
            <w:rPr>
              <w:rStyle w:val="PlaceholderText"/>
            </w:rPr>
            <w:t>[Title]</w:t>
          </w:r>
        </w:p>
      </w:docPartBody>
    </w:docPart>
    <w:docPart>
      <w:docPartPr>
        <w:name w:val="6D70FAB40F2B41BDB130576BEB531A10"/>
        <w:category>
          <w:name w:val="General"/>
          <w:gallery w:val="placeholder"/>
        </w:category>
        <w:types>
          <w:type w:val="bbPlcHdr"/>
        </w:types>
        <w:behaviors>
          <w:behavior w:val="content"/>
        </w:behaviors>
        <w:guid w:val="{267DF399-84D6-49A6-93E2-CE72C097C800}"/>
      </w:docPartPr>
      <w:docPartBody>
        <w:p w:rsidR="004D26EC" w:rsidRDefault="00005A84">
          <w:pPr>
            <w:pStyle w:val="6D70FAB40F2B41BDB130576BEB531A10"/>
          </w:pPr>
          <w:r w:rsidRPr="001A5BE2">
            <w:rPr>
              <w:rStyle w:val="PlaceholderText"/>
            </w:rPr>
            <w:t>[Subject]</w:t>
          </w:r>
        </w:p>
      </w:docPartBody>
    </w:docPart>
    <w:docPart>
      <w:docPartPr>
        <w:name w:val="2CB375382ECD413FBD0BE4FC96DC3A75"/>
        <w:category>
          <w:name w:val="General"/>
          <w:gallery w:val="placeholder"/>
        </w:category>
        <w:types>
          <w:type w:val="bbPlcHdr"/>
        </w:types>
        <w:behaviors>
          <w:behavior w:val="content"/>
        </w:behaviors>
        <w:guid w:val="{76B314EC-3C17-41F1-B050-EBDDA39BF299}"/>
      </w:docPartPr>
      <w:docPartBody>
        <w:p w:rsidR="004D26EC" w:rsidRDefault="00005A84" w:rsidP="00005A84">
          <w:pPr>
            <w:pStyle w:val="2CB375382ECD413FBD0BE4FC96DC3A75"/>
          </w:pPr>
          <w:r w:rsidRPr="00847272">
            <w:rPr>
              <w:rStyle w:val="PlaceholderText"/>
            </w:rPr>
            <w:t>[Title]</w:t>
          </w:r>
        </w:p>
      </w:docPartBody>
    </w:docPart>
    <w:docPart>
      <w:docPartPr>
        <w:name w:val="7BEDDBB2AF884831A155496F320470FA"/>
        <w:category>
          <w:name w:val="General"/>
          <w:gallery w:val="placeholder"/>
        </w:category>
        <w:types>
          <w:type w:val="bbPlcHdr"/>
        </w:types>
        <w:behaviors>
          <w:behavior w:val="content"/>
        </w:behaviors>
        <w:guid w:val="{FACA73BF-71DF-47E8-8B52-07F665300CD1}"/>
      </w:docPartPr>
      <w:docPartBody>
        <w:p w:rsidR="004D26EC" w:rsidRDefault="00005A84" w:rsidP="00005A84">
          <w:pPr>
            <w:pStyle w:val="7BEDDBB2AF884831A155496F320470FA"/>
          </w:pPr>
          <w:r w:rsidRPr="001A5BE2">
            <w:rPr>
              <w:rStyle w:val="PlaceholderText"/>
            </w:rPr>
            <w:t>[Subject]</w:t>
          </w:r>
        </w:p>
      </w:docPartBody>
    </w:docPart>
    <w:docPart>
      <w:docPartPr>
        <w:name w:val="D41CD4715D3F4F96A50CC40845F47014"/>
        <w:category>
          <w:name w:val="General"/>
          <w:gallery w:val="placeholder"/>
        </w:category>
        <w:types>
          <w:type w:val="bbPlcHdr"/>
        </w:types>
        <w:behaviors>
          <w:behavior w:val="content"/>
        </w:behaviors>
        <w:guid w:val="{A2AB4DA4-621A-4F82-B117-A98FEDD91215}"/>
      </w:docPartPr>
      <w:docPartBody>
        <w:p w:rsidR="004D26EC" w:rsidRDefault="00005A84" w:rsidP="00005A84">
          <w:pPr>
            <w:pStyle w:val="D41CD4715D3F4F96A50CC40845F47014"/>
          </w:pPr>
          <w:r w:rsidRPr="001A5B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Fira Sans Black">
    <w:altName w:val="Fira Sans Black"/>
    <w:charset w:val="00"/>
    <w:family w:val="swiss"/>
    <w:pitch w:val="variable"/>
    <w:sig w:usb0="600002FF"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4"/>
    <w:rsid w:val="00005A84"/>
    <w:rsid w:val="000E50EF"/>
    <w:rsid w:val="00112D4E"/>
    <w:rsid w:val="001D7746"/>
    <w:rsid w:val="002E0444"/>
    <w:rsid w:val="004D26EC"/>
    <w:rsid w:val="006E71B5"/>
    <w:rsid w:val="008B2B5C"/>
    <w:rsid w:val="00AB4E23"/>
    <w:rsid w:val="00C24B58"/>
    <w:rsid w:val="00D01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A84"/>
    <w:rPr>
      <w:color w:val="808080"/>
    </w:rPr>
  </w:style>
  <w:style w:type="paragraph" w:customStyle="1" w:styleId="0B22328531384A41868CD2E9E2472951">
    <w:name w:val="0B22328531384A41868CD2E9E2472951"/>
  </w:style>
  <w:style w:type="paragraph" w:customStyle="1" w:styleId="6D70FAB40F2B41BDB130576BEB531A10">
    <w:name w:val="6D70FAB40F2B41BDB130576BEB531A10"/>
  </w:style>
  <w:style w:type="paragraph" w:customStyle="1" w:styleId="2CB375382ECD413FBD0BE4FC96DC3A75">
    <w:name w:val="2CB375382ECD413FBD0BE4FC96DC3A75"/>
    <w:rsid w:val="00005A84"/>
  </w:style>
  <w:style w:type="paragraph" w:customStyle="1" w:styleId="7BEDDBB2AF884831A155496F320470FA">
    <w:name w:val="7BEDDBB2AF884831A155496F320470FA"/>
    <w:rsid w:val="00005A84"/>
  </w:style>
  <w:style w:type="paragraph" w:customStyle="1" w:styleId="D41CD4715D3F4F96A50CC40845F47014">
    <w:name w:val="D41CD4715D3F4F96A50CC40845F47014"/>
    <w:rsid w:val="00005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Control.Onload">
  <ribbon>
    <tabs>
      <tab id="CustomTab1" label="Queensland Health" insertAfterMso="TabHome">
        <group id="ContentGroup" label="Styles" imageMso="StylesPane" autoScale="false">
          <gallery idMso="QuickStylesGallery" label="Style Gallery" size="large"/>
          <control idMso="StylesPane" label="Style Panel" visible="true" size="large"/>
        </group>
        <group id="mso_c2.19CDA5E" label="Formating" imageMso="Paste" autoScale="false">
          <control idMso="EastAsianEditingMarks" label="Show/Hide" visible="true" size="large"/>
          <splitButton idMso="PasteMenu" size="large"/>
          <toggleButton idMso="Bold"/>
          <toggleButton idMso="Italic"/>
          <gallery idMso="FontColorPicker" showLabel="false"/>
        </group>
        <group id="mso_c1.278C6A9" label="Cover Pages" autoScale="false">
          <gallery idMso="CoverPageInsertGallery" size="large"/>
        </group>
        <group id="mso_c1.27B1FCC" label="Page Layouts" imageMso="PageOrientationPortraitLandscape" autoScale="false">
          <gallery idMso="CustomGallery2" label="Page Layouts" size="large" imageMso="RecordsRefreshMenu"/>
          <gallery idMso="CustomGallery3" label="Text Boxes" imageMso="CharacterBorder"/>
          <gallery idMso="CustomFooterGallery" label="Footers"/>
          <gallery idMso="BreaksGallery" label="Breaks"/>
        </group>
        <group id="mso_c1.1D230BA" label="Charts and Tables" imageMso="ChartInsert" autoScale="true">
          <gallery idMso="CustomGallery1" label="Charts" imageMso="Chart3DColumnChart"/>
          <gallery idMso="CustomTablesGallery" label="Tables"/>
          <control idMso="TableInsertDialogWord" label="Custom"/>
        </group>
        <group id="mso_c2.27C3468" label="Disclaimers" imageMso="FunctionsInformationInsertGallery" autoScale="true">
          <gallery idMso="CustomGallery4" label="Copyright Info" imageMso="Info" size="large"/>
          <gallery idMso="WatermarkGallery" size="large"/>
        </group>
        <group id="mso_c2.2791BFD" label="Referencing" imageMso="FunctionsLookupReferenceInsertGallery" autoScale="true">
          <gallery idMso="TableOfContentsGallery" size="large"/>
          <control idMso="FootnoteInsert" size="large"/>
          <gallery idMso="CitationInsert"/>
          <gallery idMso="BibliographyGallery" label="Insert Reference List"/>
          <control idMso="TableOfFiguresInsert"/>
        </group>
        <group id="mso_c1.245E823" label="Images" imageMso="ControlImage" autoScale="true">
          <control idMso="PictureInsertFromFile" label="Insert Picture" size="large"/>
          <control idMso="CaptionInsert" visible="true"/>
          <gallery idMso="TextWrapGallery"/>
          <control idMso="PicturesCompress"/>
        </group>
        <group id="mso_c1.26A32CA" label="Useful Links" imageMso="WebPagePreview" autoScale="false">
          <button id="OpenURL_Instructions" label="Instructions" imageMso="FindDialog" onAction="RibbonControl.OpenInstructions"/>
          <button id="OpenURL_Templates" label="Templates" imageMso="FindDialog" onAction="RibbonControl.OpenTemplates"/>
          <button id="OpenURL_StyleGuide" label="Editorial Style Guide" imageMso="FindDialog" onAction="RibbonControl.OpenStyleguide"/>
        </group>
        <group id="mso_c1.3363BB3" label="Delete Instructions" imageMso="ClearMenu" autoScale="true">
          <button id="ClearInstructions" label="Delete Instructions" imageMso="ClearMenu" onAction="RibbonControl.DeleteMacro"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3.xml><?xml version="1.0" encoding="utf-8"?>
<ct:contentTypeSchema xmlns:ct="http://schemas.microsoft.com/office/2006/metadata/contentType" xmlns:ma="http://schemas.microsoft.com/office/2006/metadata/properties/metaAttributes" ct:_="" ma:_="" ma:contentTypeName="Document" ma:contentTypeID="0x01010024E7E7AAAF4A454182D2802D7237DD6D" ma:contentTypeVersion="21" ma:contentTypeDescription="Create a new document." ma:contentTypeScope="" ma:versionID="6bc75fbc8181070347b8dc20e43c0572">
  <xsd:schema xmlns:xsd="http://www.w3.org/2001/XMLSchema" xmlns:xs="http://www.w3.org/2001/XMLSchema" xmlns:p="http://schemas.microsoft.com/office/2006/metadata/properties" xmlns:ns2="e2a4654a-51bd-49f8-9c33-0a785e6e14b4" xmlns:ns3="5e65baea-3948-4a4d-8020-e0aa31deec66" xmlns:ns4="3e035340-2944-4727-9f74-27603fa6c14a" targetNamespace="http://schemas.microsoft.com/office/2006/metadata/properties" ma:root="true" ma:fieldsID="e5e1ed8df5d83f21f958b040d3c485fb" ns2:_="" ns3:_="" ns4:_="">
    <xsd:import namespace="e2a4654a-51bd-49f8-9c33-0a785e6e14b4"/>
    <xsd:import namespace="5e65baea-3948-4a4d-8020-e0aa31deec66"/>
    <xsd:import namespace="3e035340-2944-4727-9f74-27603fa6c14a"/>
    <xsd:element name="properties">
      <xsd:complexType>
        <xsd:sequence>
          <xsd:element name="documentManagement">
            <xsd:complexType>
              <xsd:all>
                <xsd:element ref="ns2:_Flow_SignoffStatus" minOccurs="0"/>
                <xsd:element ref="ns2:ApproverNam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Comment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4654a-51bd-49f8-9c33-0a785e6e14b4"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ApproverName" ma:index="3" nillable="true" ma:displayName="Approver Name" ma:description="Person who approved document." ma:format="Dropdown" ma:list="UserInfo" ma:SharePointGroup="0" ma:internalName="ApproverNam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Comments" ma:index="21" nillable="true" ma:displayName="Comments" ma:format="Dropdown" ma:internalName="Comment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5baea-3948-4a4d-8020-e0aa31deec66"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ac80262-c009-48b4-a06c-2ea658b77a06}" ma:internalName="TaxCatchAll" ma:showField="CatchAllData" ma:web="5e65baea-3948-4a4d-8020-e0aa31deec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2a4654a-51bd-49f8-9c33-0a785e6e14b4" xsi:nil="true"/>
    <Comments xmlns="e2a4654a-51bd-49f8-9c33-0a785e6e14b4" xsi:nil="true"/>
    <TaxCatchAll xmlns="3e035340-2944-4727-9f74-27603fa6c14a" xsi:nil="true"/>
    <ApproverName xmlns="e2a4654a-51bd-49f8-9c33-0a785e6e14b4">
      <UserInfo>
        <DisplayName/>
        <AccountId xsi:nil="true"/>
        <AccountType/>
      </UserInfo>
    </ApproverName>
    <lcf76f155ced4ddcb4097134ff3c332f xmlns="e2a4654a-51bd-49f8-9c33-0a785e6e14b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27EC46-25D4-4F72-A870-5F51A42B4591}">
  <ds:schemaRefs>
    <ds:schemaRef ds:uri="http://schemas.microsoft.com/office/2009/07/customui"/>
  </ds:schemaRefs>
</ds:datastoreItem>
</file>

<file path=customXml/itemProps3.xml><?xml version="1.0" encoding="utf-8"?>
<ds:datastoreItem xmlns:ds="http://schemas.openxmlformats.org/officeDocument/2006/customXml" ds:itemID="{E6E7E871-BE22-4285-9835-C813E19C4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4654a-51bd-49f8-9c33-0a785e6e14b4"/>
    <ds:schemaRef ds:uri="5e65baea-3948-4a4d-8020-e0aa31deec66"/>
    <ds:schemaRef ds:uri="3e035340-2944-4727-9f74-27603fa6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23228-713C-41D4-9F4A-7925C5D0C610}">
  <ds:schemaRefs>
    <ds:schemaRef ds:uri="http://schemas.microsoft.com/sharepoint/v3/contenttype/forms"/>
  </ds:schemaRefs>
</ds:datastoreItem>
</file>

<file path=customXml/itemProps5.xml><?xml version="1.0" encoding="utf-8"?>
<ds:datastoreItem xmlns:ds="http://schemas.openxmlformats.org/officeDocument/2006/customXml" ds:itemID="{0073B6BA-EA92-418C-B106-61E561824CE9}">
  <ds:schemaRefs>
    <ds:schemaRef ds:uri="http://purl.org/dc/elements/1.1/"/>
    <ds:schemaRef ds:uri="http://schemas.microsoft.com/office/2006/metadata/properties"/>
    <ds:schemaRef ds:uri="3e035340-2944-4727-9f74-27603fa6c14a"/>
    <ds:schemaRef ds:uri="e2a4654a-51bd-49f8-9c33-0a785e6e14b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e65baea-3948-4a4d-8020-e0aa31deec66"/>
    <ds:schemaRef ds:uri="http://www.w3.org/XML/1998/namespace"/>
    <ds:schemaRef ds:uri="http://purl.org/dc/dcmitype/"/>
  </ds:schemaRefs>
</ds:datastoreItem>
</file>

<file path=customXml/itemProps6.xml><?xml version="1.0" encoding="utf-8"?>
<ds:datastoreItem xmlns:ds="http://schemas.openxmlformats.org/officeDocument/2006/customXml" ds:itemID="{A0CDC660-F56A-4006-A2AF-067F57AD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25</Pages>
  <Words>4297</Words>
  <Characters>31103</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Queensland Health Non Admitted Patient Data Collection (QHNAPDC)</vt:lpstr>
    </vt:vector>
  </TitlesOfParts>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Health Non Admitted Patient Data Collection (QHNAPDC)</dc:title>
  <dc:subject>2024-2025 Business Rules</dc:subject>
  <dc:creator>Statistical Collections and Integration Unit, Statistical Services Branch, Queensland Government</dc:creator>
  <cp:keywords>QHNAPDC; business rules; IHACPA; 2024-2025</cp:keywords>
  <dc:description/>
  <cp:lastModifiedBy>Erin Kelly</cp:lastModifiedBy>
  <cp:revision>22</cp:revision>
  <dcterms:created xsi:type="dcterms:W3CDTF">2024-12-16T05:25:00Z</dcterms:created>
  <dcterms:modified xsi:type="dcterms:W3CDTF">2024-12-23T02:50:00Z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0x01010024E7E7AAAF4A454182D2802D7237DD6D</vt:lpwstr>
  </property>
  <property fmtid="{D5CDD505-2E9C-101B-9397-08002B2CF9AE}" pid="3" name="MediaServiceImageTags">
    <vt:lpwstr/>
  </property>
</Properties>
</file>